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E0FD" w14:textId="1B23EE1B" w:rsidR="002A2056" w:rsidRDefault="09CDA87D" w:rsidP="4F833C02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4F116727">
        <w:rPr>
          <w:rFonts w:ascii="Calibri" w:hAnsi="Calibri" w:cs="Calibri"/>
          <w:b/>
          <w:bCs/>
          <w:sz w:val="28"/>
          <w:szCs w:val="28"/>
        </w:rPr>
        <w:t xml:space="preserve">Svatomartinská vína budou </w:t>
      </w:r>
      <w:r w:rsidR="00E7321F" w:rsidRPr="4F116727">
        <w:rPr>
          <w:rFonts w:ascii="Calibri" w:hAnsi="Calibri" w:cs="Calibri"/>
          <w:b/>
          <w:bCs/>
          <w:sz w:val="28"/>
          <w:szCs w:val="28"/>
        </w:rPr>
        <w:t xml:space="preserve">letos </w:t>
      </w:r>
      <w:r w:rsidRPr="4F116727">
        <w:rPr>
          <w:rFonts w:ascii="Calibri" w:hAnsi="Calibri" w:cs="Calibri"/>
          <w:b/>
          <w:bCs/>
          <w:sz w:val="28"/>
          <w:szCs w:val="28"/>
        </w:rPr>
        <w:t>kvůli náročným klimatickým podmínkám vzácnější, cena přesto zůstává na úrovni</w:t>
      </w:r>
      <w:r w:rsidR="6E1DADF5" w:rsidRPr="4F116727">
        <w:rPr>
          <w:rFonts w:ascii="Calibri" w:hAnsi="Calibri" w:cs="Calibri"/>
          <w:b/>
          <w:bCs/>
          <w:sz w:val="28"/>
          <w:szCs w:val="28"/>
        </w:rPr>
        <w:t xml:space="preserve"> minulých let</w:t>
      </w:r>
    </w:p>
    <w:p w14:paraId="6CBD26E5" w14:textId="77777777" w:rsidR="002A2056" w:rsidRPr="000D4676" w:rsidRDefault="002A2056" w:rsidP="002A205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F8A08FE" w14:textId="05AB5F3B" w:rsidR="002A2056" w:rsidRPr="00477A91" w:rsidRDefault="524DD216" w:rsidP="7787A6BE">
      <w:pPr>
        <w:jc w:val="both"/>
        <w:rPr>
          <w:rFonts w:ascii="Calibri" w:hAnsi="Calibri" w:cs="Calibri"/>
          <w:b/>
          <w:bCs/>
        </w:rPr>
      </w:pPr>
      <w:r w:rsidRPr="7787A6BE">
        <w:rPr>
          <w:rFonts w:ascii="Calibri" w:hAnsi="Calibri" w:cs="Calibri"/>
          <w:b/>
          <w:bCs/>
        </w:rPr>
        <w:t xml:space="preserve">Už je jasno, </w:t>
      </w:r>
      <w:r w:rsidR="0206A47E" w:rsidRPr="7787A6BE">
        <w:rPr>
          <w:rFonts w:ascii="Calibri" w:hAnsi="Calibri" w:cs="Calibri"/>
          <w:b/>
          <w:bCs/>
        </w:rPr>
        <w:t>n</w:t>
      </w:r>
      <w:r w:rsidR="09CDA87D" w:rsidRPr="7787A6BE">
        <w:rPr>
          <w:rFonts w:ascii="Calibri" w:hAnsi="Calibri" w:cs="Calibri"/>
          <w:b/>
          <w:bCs/>
        </w:rPr>
        <w:t xml:space="preserve">a trh </w:t>
      </w:r>
      <w:r w:rsidR="4E8C3738" w:rsidRPr="7787A6BE">
        <w:rPr>
          <w:rFonts w:ascii="Calibri" w:hAnsi="Calibri" w:cs="Calibri"/>
          <w:b/>
          <w:bCs/>
        </w:rPr>
        <w:t xml:space="preserve">letos </w:t>
      </w:r>
      <w:r w:rsidR="09CDA87D" w:rsidRPr="7787A6BE">
        <w:rPr>
          <w:rFonts w:ascii="Calibri" w:hAnsi="Calibri" w:cs="Calibri"/>
          <w:b/>
          <w:bCs/>
        </w:rPr>
        <w:t xml:space="preserve">zamíří </w:t>
      </w:r>
      <w:r w:rsidR="001B126C">
        <w:rPr>
          <w:rFonts w:ascii="Calibri" w:hAnsi="Calibri" w:cs="Calibri"/>
          <w:b/>
          <w:bCs/>
        </w:rPr>
        <w:t>více než 1,9</w:t>
      </w:r>
      <w:r w:rsidR="22702225" w:rsidRPr="7787A6BE">
        <w:rPr>
          <w:rFonts w:ascii="Calibri" w:hAnsi="Calibri" w:cs="Calibri"/>
          <w:b/>
          <w:bCs/>
        </w:rPr>
        <w:t xml:space="preserve"> </w:t>
      </w:r>
      <w:r w:rsidR="09CDA87D" w:rsidRPr="7787A6BE">
        <w:rPr>
          <w:rFonts w:ascii="Calibri" w:hAnsi="Calibri" w:cs="Calibri"/>
          <w:b/>
          <w:bCs/>
        </w:rPr>
        <w:t>milion</w:t>
      </w:r>
      <w:r w:rsidR="31C2CCC9" w:rsidRPr="7787A6BE">
        <w:rPr>
          <w:rFonts w:ascii="Calibri" w:hAnsi="Calibri" w:cs="Calibri"/>
          <w:b/>
          <w:bCs/>
        </w:rPr>
        <w:t>ů</w:t>
      </w:r>
      <w:r w:rsidR="09CDA87D" w:rsidRPr="7787A6BE">
        <w:rPr>
          <w:rFonts w:ascii="Calibri" w:hAnsi="Calibri" w:cs="Calibri"/>
          <w:b/>
          <w:bCs/>
        </w:rPr>
        <w:t xml:space="preserve"> lahví</w:t>
      </w:r>
      <w:r w:rsidR="23E74591" w:rsidRPr="7787A6BE">
        <w:rPr>
          <w:rFonts w:ascii="Calibri" w:hAnsi="Calibri" w:cs="Calibri"/>
          <w:b/>
          <w:bCs/>
        </w:rPr>
        <w:t xml:space="preserve"> Svatomartinských vín</w:t>
      </w:r>
      <w:r w:rsidR="260E9E57" w:rsidRPr="7787A6BE">
        <w:rPr>
          <w:rFonts w:ascii="Calibri" w:hAnsi="Calibri" w:cs="Calibri"/>
          <w:b/>
          <w:bCs/>
        </w:rPr>
        <w:t>.</w:t>
      </w:r>
      <w:r w:rsidR="3C709DFA" w:rsidRPr="7787A6BE">
        <w:rPr>
          <w:rFonts w:ascii="Calibri" w:hAnsi="Calibri" w:cs="Calibri"/>
          <w:b/>
          <w:bCs/>
        </w:rPr>
        <w:t xml:space="preserve"> </w:t>
      </w:r>
      <w:r w:rsidR="04073983" w:rsidRPr="7787A6BE">
        <w:rPr>
          <w:rFonts w:ascii="Calibri" w:hAnsi="Calibri" w:cs="Calibri"/>
          <w:b/>
          <w:bCs/>
        </w:rPr>
        <w:t>O</w:t>
      </w:r>
      <w:r w:rsidR="09CDA87D" w:rsidRPr="7787A6BE">
        <w:rPr>
          <w:rFonts w:ascii="Calibri" w:hAnsi="Calibri" w:cs="Calibri"/>
          <w:b/>
          <w:bCs/>
        </w:rPr>
        <w:t>proti předchozím</w:t>
      </w:r>
      <w:r w:rsidR="47AC7E02" w:rsidRPr="7787A6BE">
        <w:rPr>
          <w:rFonts w:ascii="Calibri" w:hAnsi="Calibri" w:cs="Calibri"/>
          <w:b/>
          <w:bCs/>
        </w:rPr>
        <w:t>u</w:t>
      </w:r>
      <w:r w:rsidR="09CDA87D" w:rsidRPr="7787A6BE">
        <w:rPr>
          <w:rFonts w:ascii="Calibri" w:hAnsi="Calibri" w:cs="Calibri"/>
          <w:b/>
          <w:bCs/>
        </w:rPr>
        <w:t xml:space="preserve"> rok</w:t>
      </w:r>
      <w:r w:rsidR="344A58AA" w:rsidRPr="7787A6BE">
        <w:rPr>
          <w:rFonts w:ascii="Calibri" w:hAnsi="Calibri" w:cs="Calibri"/>
          <w:b/>
          <w:bCs/>
        </w:rPr>
        <w:t>u</w:t>
      </w:r>
      <w:r w:rsidR="09CDA87D" w:rsidRPr="7787A6BE">
        <w:rPr>
          <w:rFonts w:ascii="Calibri" w:hAnsi="Calibri" w:cs="Calibri"/>
          <w:b/>
          <w:bCs/>
        </w:rPr>
        <w:t xml:space="preserve"> </w:t>
      </w:r>
      <w:r w:rsidR="3F0B5C06" w:rsidRPr="7787A6BE">
        <w:rPr>
          <w:rFonts w:ascii="Calibri" w:hAnsi="Calibri" w:cs="Calibri"/>
          <w:b/>
          <w:bCs/>
        </w:rPr>
        <w:t xml:space="preserve">jde o </w:t>
      </w:r>
      <w:r w:rsidR="09CDA87D" w:rsidRPr="7787A6BE">
        <w:rPr>
          <w:rFonts w:ascii="Calibri" w:hAnsi="Calibri" w:cs="Calibri"/>
          <w:b/>
          <w:bCs/>
        </w:rPr>
        <w:t xml:space="preserve">pokles, který </w:t>
      </w:r>
      <w:r w:rsidR="7CC004C3" w:rsidRPr="7787A6BE">
        <w:rPr>
          <w:rFonts w:ascii="Calibri" w:hAnsi="Calibri" w:cs="Calibri"/>
          <w:b/>
          <w:bCs/>
        </w:rPr>
        <w:t xml:space="preserve">reflektuje </w:t>
      </w:r>
      <w:r w:rsidR="6FE713FD" w:rsidRPr="7787A6BE">
        <w:rPr>
          <w:rFonts w:ascii="Calibri" w:hAnsi="Calibri" w:cs="Calibri"/>
          <w:b/>
          <w:bCs/>
        </w:rPr>
        <w:t xml:space="preserve">náročný průběh letošní </w:t>
      </w:r>
      <w:r w:rsidR="3DC33FAA" w:rsidRPr="7787A6BE">
        <w:rPr>
          <w:rFonts w:ascii="Calibri" w:hAnsi="Calibri" w:cs="Calibri"/>
          <w:b/>
          <w:bCs/>
        </w:rPr>
        <w:t>vinařské</w:t>
      </w:r>
      <w:r w:rsidR="1681A181" w:rsidRPr="7787A6BE">
        <w:rPr>
          <w:rFonts w:ascii="Calibri" w:hAnsi="Calibri" w:cs="Calibri"/>
          <w:b/>
          <w:bCs/>
        </w:rPr>
        <w:t xml:space="preserve"> sezóny</w:t>
      </w:r>
      <w:r w:rsidR="22702225" w:rsidRPr="7787A6BE">
        <w:rPr>
          <w:rFonts w:ascii="Calibri" w:hAnsi="Calibri" w:cs="Calibri"/>
          <w:b/>
          <w:bCs/>
        </w:rPr>
        <w:t xml:space="preserve"> a </w:t>
      </w:r>
      <w:r w:rsidR="258365FB" w:rsidRPr="7787A6BE">
        <w:rPr>
          <w:rFonts w:ascii="Calibri" w:hAnsi="Calibri" w:cs="Calibri"/>
          <w:b/>
          <w:bCs/>
        </w:rPr>
        <w:t xml:space="preserve">s tím související </w:t>
      </w:r>
      <w:r w:rsidR="22702225" w:rsidRPr="7787A6BE">
        <w:rPr>
          <w:rFonts w:ascii="Calibri" w:hAnsi="Calibri" w:cs="Calibri"/>
          <w:b/>
          <w:bCs/>
        </w:rPr>
        <w:t>nižší sklizeň</w:t>
      </w:r>
      <w:r w:rsidR="09CDA87D" w:rsidRPr="7787A6BE">
        <w:rPr>
          <w:rFonts w:ascii="Calibri" w:hAnsi="Calibri" w:cs="Calibri"/>
          <w:b/>
          <w:bCs/>
        </w:rPr>
        <w:t>.</w:t>
      </w:r>
      <w:r w:rsidR="7F016B4C" w:rsidRPr="7787A6BE">
        <w:rPr>
          <w:rFonts w:ascii="Calibri" w:hAnsi="Calibri" w:cs="Calibri"/>
          <w:b/>
          <w:bCs/>
        </w:rPr>
        <w:t xml:space="preserve"> </w:t>
      </w:r>
      <w:r w:rsidR="625E6D14" w:rsidRPr="7787A6BE">
        <w:rPr>
          <w:rFonts w:ascii="Calibri" w:hAnsi="Calibri" w:cs="Calibri"/>
          <w:b/>
          <w:bCs/>
        </w:rPr>
        <w:t xml:space="preserve">Produkci výrazně </w:t>
      </w:r>
      <w:r w:rsidR="0AE155EB" w:rsidRPr="7787A6BE">
        <w:rPr>
          <w:rFonts w:ascii="Calibri" w:hAnsi="Calibri" w:cs="Calibri"/>
          <w:b/>
          <w:bCs/>
        </w:rPr>
        <w:t xml:space="preserve">ovlivnily </w:t>
      </w:r>
      <w:r w:rsidR="29710D6E" w:rsidRPr="7787A6BE">
        <w:rPr>
          <w:rFonts w:ascii="Calibri" w:hAnsi="Calibri" w:cs="Calibri"/>
          <w:b/>
          <w:bCs/>
        </w:rPr>
        <w:t>d</w:t>
      </w:r>
      <w:r w:rsidR="7F016B4C" w:rsidRPr="7787A6BE">
        <w:rPr>
          <w:rFonts w:ascii="Calibri" w:hAnsi="Calibri" w:cs="Calibri"/>
          <w:b/>
          <w:bCs/>
        </w:rPr>
        <w:t>ubnové mrazy, letní sucho a zářijové deště</w:t>
      </w:r>
      <w:r w:rsidR="02026ABB" w:rsidRPr="7787A6BE">
        <w:rPr>
          <w:rFonts w:ascii="Calibri" w:hAnsi="Calibri" w:cs="Calibri"/>
          <w:b/>
          <w:bCs/>
        </w:rPr>
        <w:t>, které</w:t>
      </w:r>
      <w:r w:rsidR="44E86FB6" w:rsidRPr="7787A6BE">
        <w:rPr>
          <w:rFonts w:ascii="Calibri" w:hAnsi="Calibri" w:cs="Calibri"/>
          <w:b/>
          <w:bCs/>
        </w:rPr>
        <w:t xml:space="preserve"> </w:t>
      </w:r>
      <w:r w:rsidR="7F016B4C" w:rsidRPr="7787A6BE">
        <w:rPr>
          <w:rFonts w:ascii="Calibri" w:hAnsi="Calibri" w:cs="Calibri"/>
          <w:b/>
          <w:bCs/>
        </w:rPr>
        <w:t>snížily objem sklizených hroznů v průměru o 30 %</w:t>
      </w:r>
      <w:r w:rsidR="50E951A9" w:rsidRPr="7787A6BE">
        <w:rPr>
          <w:rFonts w:ascii="Calibri" w:hAnsi="Calibri" w:cs="Calibri"/>
          <w:b/>
          <w:bCs/>
        </w:rPr>
        <w:t>.</w:t>
      </w:r>
    </w:p>
    <w:p w14:paraId="5D87BE08" w14:textId="23C07A09" w:rsidR="002A2056" w:rsidRPr="00477A91" w:rsidRDefault="09CDA87D" w:rsidP="7787A6BE">
      <w:pPr>
        <w:jc w:val="both"/>
        <w:rPr>
          <w:rFonts w:ascii="Calibri" w:eastAsia="Calibri" w:hAnsi="Calibri" w:cs="Calibri"/>
        </w:rPr>
      </w:pPr>
      <w:r w:rsidRPr="7787A6BE">
        <w:rPr>
          <w:rFonts w:ascii="Calibri" w:hAnsi="Calibri" w:cs="Calibri"/>
          <w:i/>
          <w:iCs/>
        </w:rPr>
        <w:t>„</w:t>
      </w:r>
      <w:r w:rsidR="2EA25011" w:rsidRPr="7787A6BE">
        <w:rPr>
          <w:rFonts w:ascii="Calibri" w:eastAsia="Calibri" w:hAnsi="Calibri" w:cs="Calibri"/>
          <w:i/>
          <w:iCs/>
        </w:rPr>
        <w:t>Navzdory náročným klimatickým podmínkám v roce 2024 se moravským vinařům podařilo vyrobit Svatomartinská vína vynikající kvality. Navíc již několik sezón</w:t>
      </w:r>
      <w:r w:rsidR="73852860" w:rsidRPr="7787A6BE">
        <w:rPr>
          <w:rFonts w:ascii="Calibri" w:eastAsia="Calibri" w:hAnsi="Calibri" w:cs="Calibri"/>
          <w:i/>
          <w:iCs/>
        </w:rPr>
        <w:t>, včetně letošní,</w:t>
      </w:r>
      <w:r w:rsidR="2EA25011" w:rsidRPr="7787A6BE">
        <w:rPr>
          <w:rFonts w:ascii="Calibri" w:eastAsia="Calibri" w:hAnsi="Calibri" w:cs="Calibri"/>
          <w:i/>
          <w:iCs/>
        </w:rPr>
        <w:t xml:space="preserve"> udržují jejich cenu prakticky na stejné úrovni, což je pro spotřebitele bezesporu příjemná zpráva,</w:t>
      </w:r>
      <w:r w:rsidRPr="7787A6BE">
        <w:rPr>
          <w:rFonts w:ascii="Calibri" w:hAnsi="Calibri" w:cs="Calibri"/>
          <w:i/>
          <w:iCs/>
        </w:rPr>
        <w:t xml:space="preserve">“ </w:t>
      </w:r>
      <w:r w:rsidRPr="7787A6BE">
        <w:rPr>
          <w:rFonts w:ascii="Calibri" w:hAnsi="Calibri" w:cs="Calibri"/>
        </w:rPr>
        <w:t xml:space="preserve">řekl Ondřej Beránek, prezident </w:t>
      </w:r>
      <w:r w:rsidRPr="7787A6BE">
        <w:rPr>
          <w:rFonts w:ascii="Calibri" w:eastAsia="Calibri" w:hAnsi="Calibri" w:cs="Calibri"/>
        </w:rPr>
        <w:t>Vinařské unie, která sdružuje významné tuzemské producenty.</w:t>
      </w:r>
    </w:p>
    <w:p w14:paraId="3B9216DE" w14:textId="498B29C8" w:rsidR="002A2056" w:rsidRPr="001B126C" w:rsidRDefault="1D5D54F3" w:rsidP="018EEFAE">
      <w:pPr>
        <w:jc w:val="both"/>
        <w:rPr>
          <w:rFonts w:ascii="Calibri" w:eastAsia="Calibri" w:hAnsi="Calibri" w:cs="Calibri"/>
        </w:rPr>
      </w:pPr>
      <w:r w:rsidRPr="001B126C">
        <w:rPr>
          <w:rFonts w:ascii="Calibri" w:eastAsia="Calibri" w:hAnsi="Calibri" w:cs="Calibri"/>
          <w:b/>
          <w:bCs/>
        </w:rPr>
        <w:t xml:space="preserve">Celkem se můžeme těšit na 310 </w:t>
      </w:r>
      <w:r w:rsidR="0E08AC7E" w:rsidRPr="001B126C">
        <w:rPr>
          <w:rFonts w:ascii="Calibri" w:eastAsia="Calibri" w:hAnsi="Calibri" w:cs="Calibri"/>
          <w:b/>
          <w:bCs/>
        </w:rPr>
        <w:t xml:space="preserve">svatomartinských </w:t>
      </w:r>
      <w:r w:rsidRPr="001B126C">
        <w:rPr>
          <w:rFonts w:ascii="Calibri" w:eastAsia="Calibri" w:hAnsi="Calibri" w:cs="Calibri"/>
          <w:b/>
          <w:bCs/>
        </w:rPr>
        <w:t>vín od 75 vinařs</w:t>
      </w:r>
      <w:r w:rsidR="54C52472" w:rsidRPr="001B126C">
        <w:rPr>
          <w:rFonts w:ascii="Calibri" w:eastAsia="Calibri" w:hAnsi="Calibri" w:cs="Calibri"/>
          <w:b/>
          <w:bCs/>
        </w:rPr>
        <w:t>tví</w:t>
      </w:r>
      <w:r w:rsidR="3ADF969C" w:rsidRPr="001B126C">
        <w:rPr>
          <w:rFonts w:ascii="Calibri" w:eastAsia="Calibri" w:hAnsi="Calibri" w:cs="Calibri"/>
        </w:rPr>
        <w:t>, podobně jako v loňském roce</w:t>
      </w:r>
      <w:r w:rsidRPr="001B126C">
        <w:rPr>
          <w:rFonts w:ascii="Calibri" w:eastAsia="Calibri" w:hAnsi="Calibri" w:cs="Calibri"/>
        </w:rPr>
        <w:t xml:space="preserve">. </w:t>
      </w:r>
      <w:bookmarkStart w:id="0" w:name="_Hlk181206271"/>
      <w:r w:rsidR="09CDA87D" w:rsidRPr="001B126C">
        <w:rPr>
          <w:rFonts w:ascii="Calibri" w:eastAsia="Calibri" w:hAnsi="Calibri" w:cs="Calibri"/>
        </w:rPr>
        <w:t xml:space="preserve">V ročníku 2024 převažují </w:t>
      </w:r>
      <w:r w:rsidR="719E767D" w:rsidRPr="001B126C">
        <w:rPr>
          <w:rFonts w:ascii="Calibri" w:eastAsia="Calibri" w:hAnsi="Calibri" w:cs="Calibri"/>
        </w:rPr>
        <w:t xml:space="preserve">tradičně </w:t>
      </w:r>
      <w:r w:rsidR="09CDA87D" w:rsidRPr="001B126C">
        <w:rPr>
          <w:rFonts w:ascii="Calibri" w:eastAsia="Calibri" w:hAnsi="Calibri" w:cs="Calibri"/>
        </w:rPr>
        <w:t>bílá vína (</w:t>
      </w:r>
      <w:r w:rsidR="79321E0D" w:rsidRPr="001B126C">
        <w:rPr>
          <w:rFonts w:ascii="Calibri" w:eastAsia="Calibri" w:hAnsi="Calibri" w:cs="Calibri"/>
        </w:rPr>
        <w:t>144</w:t>
      </w:r>
      <w:r w:rsidR="09CDA87D" w:rsidRPr="001B126C">
        <w:rPr>
          <w:rFonts w:ascii="Calibri" w:eastAsia="Calibri" w:hAnsi="Calibri" w:cs="Calibri"/>
        </w:rPr>
        <w:t>), následována růžovými a klarety (</w:t>
      </w:r>
      <w:r w:rsidR="6647154E" w:rsidRPr="001B126C">
        <w:rPr>
          <w:rFonts w:ascii="Calibri" w:eastAsia="Calibri" w:hAnsi="Calibri" w:cs="Calibri"/>
        </w:rPr>
        <w:t>92</w:t>
      </w:r>
      <w:r w:rsidR="09CDA87D" w:rsidRPr="001B126C">
        <w:rPr>
          <w:rFonts w:ascii="Calibri" w:eastAsia="Calibri" w:hAnsi="Calibri" w:cs="Calibri"/>
        </w:rPr>
        <w:t>) a červenými víny (</w:t>
      </w:r>
      <w:r w:rsidR="2981BAFC" w:rsidRPr="001B126C">
        <w:rPr>
          <w:rFonts w:ascii="Calibri" w:eastAsia="Calibri" w:hAnsi="Calibri" w:cs="Calibri"/>
        </w:rPr>
        <w:t>74</w:t>
      </w:r>
      <w:r w:rsidR="09CDA87D" w:rsidRPr="001B126C">
        <w:rPr>
          <w:rFonts w:ascii="Calibri" w:eastAsia="Calibri" w:hAnsi="Calibri" w:cs="Calibri"/>
        </w:rPr>
        <w:t>). Pod značkou Svatomartinské lze vyrábět pouze vína povolených odrůd a jejich cuvée. U bílých vín se jedná o Müller Thurgau (</w:t>
      </w:r>
      <w:r w:rsidR="50B29325" w:rsidRPr="001B126C">
        <w:rPr>
          <w:rFonts w:ascii="Calibri" w:eastAsia="Calibri" w:hAnsi="Calibri" w:cs="Calibri"/>
        </w:rPr>
        <w:t>77</w:t>
      </w:r>
      <w:r w:rsidR="09CDA87D" w:rsidRPr="001B126C">
        <w:rPr>
          <w:rFonts w:ascii="Calibri" w:eastAsia="Calibri" w:hAnsi="Calibri" w:cs="Calibri"/>
        </w:rPr>
        <w:t>), Veltlínské červené rané (</w:t>
      </w:r>
      <w:r w:rsidR="3D3CEE41" w:rsidRPr="001B126C">
        <w:rPr>
          <w:rFonts w:ascii="Calibri" w:eastAsia="Calibri" w:hAnsi="Calibri" w:cs="Calibri"/>
        </w:rPr>
        <w:t>20</w:t>
      </w:r>
      <w:r w:rsidR="09CDA87D" w:rsidRPr="001B126C">
        <w:rPr>
          <w:rFonts w:ascii="Calibri" w:eastAsia="Calibri" w:hAnsi="Calibri" w:cs="Calibri"/>
        </w:rPr>
        <w:t>), Muškát moravský (</w:t>
      </w:r>
      <w:r w:rsidR="324EFC50" w:rsidRPr="001B126C">
        <w:rPr>
          <w:rFonts w:ascii="Calibri" w:eastAsia="Calibri" w:hAnsi="Calibri" w:cs="Calibri"/>
        </w:rPr>
        <w:t>47</w:t>
      </w:r>
      <w:r w:rsidR="09CDA87D" w:rsidRPr="001B126C">
        <w:rPr>
          <w:rFonts w:ascii="Calibri" w:eastAsia="Calibri" w:hAnsi="Calibri" w:cs="Calibri"/>
        </w:rPr>
        <w:t>), u růžových o Modrý Portugal (</w:t>
      </w:r>
      <w:r w:rsidR="25E11465" w:rsidRPr="001B126C">
        <w:rPr>
          <w:rFonts w:ascii="Calibri" w:eastAsia="Calibri" w:hAnsi="Calibri" w:cs="Calibri"/>
        </w:rPr>
        <w:t>7</w:t>
      </w:r>
      <w:r w:rsidR="09CDA87D" w:rsidRPr="001B126C">
        <w:rPr>
          <w:rFonts w:ascii="Calibri" w:eastAsia="Calibri" w:hAnsi="Calibri" w:cs="Calibri"/>
        </w:rPr>
        <w:t>), Svatovavřinecké (</w:t>
      </w:r>
      <w:r w:rsidR="5CE383CF" w:rsidRPr="001B126C">
        <w:rPr>
          <w:rFonts w:ascii="Calibri" w:eastAsia="Calibri" w:hAnsi="Calibri" w:cs="Calibri"/>
        </w:rPr>
        <w:t>34</w:t>
      </w:r>
      <w:r w:rsidR="09CDA87D" w:rsidRPr="001B126C">
        <w:rPr>
          <w:rFonts w:ascii="Calibri" w:eastAsia="Calibri" w:hAnsi="Calibri" w:cs="Calibri"/>
        </w:rPr>
        <w:t>) a Zweigeltrebe (</w:t>
      </w:r>
      <w:r w:rsidR="48D3E358" w:rsidRPr="001B126C">
        <w:rPr>
          <w:rFonts w:ascii="Calibri" w:eastAsia="Calibri" w:hAnsi="Calibri" w:cs="Calibri"/>
        </w:rPr>
        <w:t>50</w:t>
      </w:r>
      <w:r w:rsidR="09CDA87D" w:rsidRPr="001B126C">
        <w:rPr>
          <w:rFonts w:ascii="Calibri" w:eastAsia="Calibri" w:hAnsi="Calibri" w:cs="Calibri"/>
        </w:rPr>
        <w:t>), u červených o Svatovavřinecké (</w:t>
      </w:r>
      <w:r w:rsidR="2066B926" w:rsidRPr="001B126C">
        <w:rPr>
          <w:rFonts w:ascii="Calibri" w:eastAsia="Calibri" w:hAnsi="Calibri" w:cs="Calibri"/>
        </w:rPr>
        <w:t>24</w:t>
      </w:r>
      <w:r w:rsidR="09CDA87D" w:rsidRPr="001B126C">
        <w:rPr>
          <w:rFonts w:ascii="Calibri" w:eastAsia="Calibri" w:hAnsi="Calibri" w:cs="Calibri"/>
        </w:rPr>
        <w:t>) a Modrý Portugal (</w:t>
      </w:r>
      <w:r w:rsidR="0925C21F" w:rsidRPr="001B126C">
        <w:rPr>
          <w:rFonts w:ascii="Calibri" w:eastAsia="Calibri" w:hAnsi="Calibri" w:cs="Calibri"/>
        </w:rPr>
        <w:t>5</w:t>
      </w:r>
      <w:r w:rsidR="0750C556" w:rsidRPr="001B126C">
        <w:rPr>
          <w:rFonts w:ascii="Calibri" w:eastAsia="Calibri" w:hAnsi="Calibri" w:cs="Calibri"/>
        </w:rPr>
        <w:t>0</w:t>
      </w:r>
      <w:r w:rsidR="09CDA87D" w:rsidRPr="001B126C">
        <w:rPr>
          <w:rFonts w:ascii="Calibri" w:eastAsia="Calibri" w:hAnsi="Calibri" w:cs="Calibri"/>
        </w:rPr>
        <w:t>).</w:t>
      </w:r>
      <w:bookmarkEnd w:id="0"/>
    </w:p>
    <w:p w14:paraId="6E8413F1" w14:textId="117B7FC0" w:rsidR="002A2056" w:rsidRPr="001B126C" w:rsidRDefault="002A2056" w:rsidP="4F833C02">
      <w:pPr>
        <w:jc w:val="both"/>
        <w:rPr>
          <w:rFonts w:ascii="Calibri" w:hAnsi="Calibri" w:cs="Calibri"/>
          <w:i/>
          <w:iCs/>
        </w:rPr>
      </w:pPr>
      <w:r w:rsidRPr="001B126C">
        <w:rPr>
          <w:rFonts w:ascii="Calibri" w:hAnsi="Calibri" w:cs="Calibri"/>
        </w:rPr>
        <w:t>„</w:t>
      </w:r>
      <w:r w:rsidRPr="001B126C">
        <w:rPr>
          <w:rFonts w:ascii="Calibri" w:hAnsi="Calibri" w:cs="Calibri"/>
          <w:i/>
          <w:iCs/>
        </w:rPr>
        <w:t xml:space="preserve">Vína jsou svěží a aromatická, bílá a růžová se vyznačují ovocitostí a jemnou kyselinkou, což jim dodává šťavnatost typickou pro Svatomartinská vína. Červená vína, vyráběná z modrých odrůd sklizených ve vyšší zralosti, mají plné ovocné aroma a intenzivní chuť,“ </w:t>
      </w:r>
      <w:r w:rsidRPr="001B126C">
        <w:rPr>
          <w:rFonts w:ascii="Calibri" w:hAnsi="Calibri" w:cs="Calibri"/>
        </w:rPr>
        <w:t>sdělil Zbyněk Vičar,</w:t>
      </w:r>
      <w:r w:rsidRPr="001B126C">
        <w:rPr>
          <w:rFonts w:ascii="Calibri" w:hAnsi="Calibri" w:cs="Calibri"/>
          <w:i/>
          <w:iCs/>
        </w:rPr>
        <w:t xml:space="preserve"> </w:t>
      </w:r>
      <w:r w:rsidRPr="001B126C">
        <w:rPr>
          <w:rFonts w:ascii="Calibri" w:hAnsi="Calibri" w:cs="Calibri"/>
        </w:rPr>
        <w:t>ředitel Vinařského fondu, který ochrannou známku Svatomartinské vlastní a každoročně ji propůjčuje vinařům.</w:t>
      </w:r>
    </w:p>
    <w:p w14:paraId="5BFE07D3" w14:textId="77777777" w:rsidR="002A2056" w:rsidRPr="001B126C" w:rsidRDefault="002A2056" w:rsidP="002A2056">
      <w:pPr>
        <w:jc w:val="both"/>
        <w:rPr>
          <w:rFonts w:ascii="Calibri" w:hAnsi="Calibri" w:cs="Calibri"/>
          <w:b/>
          <w:bCs/>
        </w:rPr>
      </w:pPr>
      <w:r w:rsidRPr="001B126C">
        <w:rPr>
          <w:rFonts w:ascii="Calibri" w:hAnsi="Calibri" w:cs="Calibri"/>
          <w:b/>
          <w:bCs/>
        </w:rPr>
        <w:t>Vysoká kvalita navzdory poklesu produkce</w:t>
      </w:r>
    </w:p>
    <w:p w14:paraId="77BFFF90" w14:textId="0F6BC96A" w:rsidR="09CDA87D" w:rsidRPr="001B126C" w:rsidRDefault="09CDA87D" w:rsidP="7787A6BE">
      <w:pPr>
        <w:tabs>
          <w:tab w:val="num" w:pos="720"/>
        </w:tabs>
        <w:jc w:val="both"/>
        <w:rPr>
          <w:rFonts w:ascii="Calibri" w:hAnsi="Calibri" w:cs="Calibri"/>
        </w:rPr>
      </w:pPr>
      <w:r w:rsidRPr="001B126C">
        <w:rPr>
          <w:rFonts w:ascii="Calibri" w:hAnsi="Calibri" w:cs="Calibri"/>
          <w:i/>
          <w:iCs/>
        </w:rPr>
        <w:t xml:space="preserve">„Svatomartinské víno není jen symbolem podzimu a s ním spojených společenských akcí, ale je také známkou kvality. Spotřebitelé tak mají jistotu, že jako Svatomartinské nekoupí víno, které by neodpovídalo vysokým standardům,“ </w:t>
      </w:r>
      <w:r w:rsidRPr="001B126C">
        <w:rPr>
          <w:rFonts w:ascii="Calibri" w:hAnsi="Calibri" w:cs="Calibri"/>
        </w:rPr>
        <w:t>řekl Zbyněk Vičar</w:t>
      </w:r>
      <w:r w:rsidRPr="001B126C">
        <w:rPr>
          <w:rFonts w:ascii="Calibri" w:hAnsi="Calibri" w:cs="Calibri"/>
          <w:i/>
          <w:iCs/>
        </w:rPr>
        <w:t xml:space="preserve">. </w:t>
      </w:r>
      <w:r w:rsidRPr="001B126C">
        <w:rPr>
          <w:rFonts w:ascii="Calibri" w:hAnsi="Calibri" w:cs="Calibri"/>
        </w:rPr>
        <w:t xml:space="preserve">O tom, která vína se dostanou na trh s označením Svatomartinské, rozhodovali degustátoři v Centru Excelence ve Valticích ve dnech 22. října a 1. listopadu. </w:t>
      </w:r>
      <w:r w:rsidRPr="001B126C">
        <w:rPr>
          <w:rFonts w:ascii="Calibri" w:hAnsi="Calibri" w:cs="Calibri"/>
          <w:b/>
          <w:bCs/>
        </w:rPr>
        <w:t xml:space="preserve">Z celkového počtu </w:t>
      </w:r>
      <w:r w:rsidR="7D3531FF" w:rsidRPr="001B126C">
        <w:rPr>
          <w:rFonts w:ascii="Calibri" w:hAnsi="Calibri" w:cs="Calibri"/>
          <w:b/>
          <w:bCs/>
        </w:rPr>
        <w:t xml:space="preserve">342 </w:t>
      </w:r>
      <w:r w:rsidRPr="001B126C">
        <w:rPr>
          <w:rFonts w:ascii="Calibri" w:hAnsi="Calibri" w:cs="Calibri"/>
          <w:b/>
          <w:bCs/>
        </w:rPr>
        <w:t xml:space="preserve">přihlášených vzorků neprošlo pouze </w:t>
      </w:r>
      <w:r w:rsidR="2F43F731" w:rsidRPr="001B126C">
        <w:rPr>
          <w:rFonts w:ascii="Calibri" w:hAnsi="Calibri" w:cs="Calibri"/>
          <w:b/>
          <w:bCs/>
        </w:rPr>
        <w:t>6</w:t>
      </w:r>
      <w:r w:rsidRPr="001B126C">
        <w:rPr>
          <w:rFonts w:ascii="Calibri" w:hAnsi="Calibri" w:cs="Calibri"/>
          <w:b/>
          <w:bCs/>
        </w:rPr>
        <w:t xml:space="preserve"> %</w:t>
      </w:r>
      <w:r w:rsidRPr="001B126C">
        <w:rPr>
          <w:rFonts w:ascii="Calibri" w:hAnsi="Calibri" w:cs="Calibri"/>
        </w:rPr>
        <w:t xml:space="preserve">, což svědčí o vysoké kvalitě vinařské práce i celého letošního ročníku. </w:t>
      </w:r>
      <w:r w:rsidRPr="001B126C">
        <w:rPr>
          <w:rFonts w:ascii="Calibri" w:eastAsia="Times New Roman" w:hAnsi="Calibri" w:cs="Calibri"/>
        </w:rPr>
        <w:t>„</w:t>
      </w:r>
      <w:r w:rsidRPr="001B126C">
        <w:rPr>
          <w:rFonts w:ascii="Calibri" w:eastAsia="Times New Roman" w:hAnsi="Calibri" w:cs="Calibri"/>
          <w:i/>
          <w:iCs/>
        </w:rPr>
        <w:t>Kvalitu Svatomartinských vín již známe a jsme rádi, že můžeme už začít hodnotit i letošní ročník, a to tak, že bude patřit mezi ty velmi kvalitní. Krásně svěží Svatomartinská vína jsou toho důkazem a máme se rozhodně čím pochlubit,“</w:t>
      </w:r>
      <w:r w:rsidRPr="001B126C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Pr="001B126C">
        <w:rPr>
          <w:rFonts w:ascii="Calibri" w:eastAsia="Times New Roman" w:hAnsi="Calibri" w:cs="Calibri"/>
        </w:rPr>
        <w:t>uvedl David Šťastný</w:t>
      </w:r>
      <w:r w:rsidRPr="001B126C">
        <w:rPr>
          <w:rFonts w:ascii="Calibri" w:hAnsi="Calibri" w:cs="Calibri"/>
        </w:rPr>
        <w:t>, ředitel vinařství Chateau Valtice – Vinné sklepy Valtice.</w:t>
      </w:r>
    </w:p>
    <w:p w14:paraId="140EBAEE" w14:textId="19119E7E" w:rsidR="002A2056" w:rsidRPr="001B126C" w:rsidRDefault="0FE79291" w:rsidP="0BD502FE">
      <w:pPr>
        <w:jc w:val="both"/>
        <w:rPr>
          <w:rFonts w:ascii="Calibri" w:hAnsi="Calibri" w:cs="Calibri"/>
          <w:b/>
          <w:bCs/>
        </w:rPr>
      </w:pPr>
      <w:r w:rsidRPr="001B126C">
        <w:rPr>
          <w:rFonts w:ascii="Calibri" w:hAnsi="Calibri" w:cs="Calibri"/>
          <w:b/>
          <w:bCs/>
        </w:rPr>
        <w:t>P</w:t>
      </w:r>
      <w:r w:rsidR="09CDA87D" w:rsidRPr="001B126C">
        <w:rPr>
          <w:rFonts w:ascii="Calibri" w:hAnsi="Calibri" w:cs="Calibri"/>
          <w:b/>
          <w:bCs/>
        </w:rPr>
        <w:t>rodej Svatomartinských vín již v pátek 8.11.</w:t>
      </w:r>
    </w:p>
    <w:p w14:paraId="5974E152" w14:textId="2E41065D" w:rsidR="002A2056" w:rsidRDefault="4F4BAE45" w:rsidP="018EEFAE">
      <w:pPr>
        <w:tabs>
          <w:tab w:val="num" w:pos="720"/>
        </w:tabs>
        <w:jc w:val="both"/>
        <w:rPr>
          <w:rFonts w:ascii="Calibri" w:hAnsi="Calibri" w:cs="Calibri"/>
        </w:rPr>
      </w:pPr>
      <w:r w:rsidRPr="001B126C">
        <w:rPr>
          <w:rFonts w:ascii="Calibri" w:hAnsi="Calibri" w:cs="Calibri"/>
        </w:rPr>
        <w:t xml:space="preserve">Přestože </w:t>
      </w:r>
      <w:r w:rsidR="09CDA87D" w:rsidRPr="001B126C">
        <w:rPr>
          <w:rFonts w:ascii="Calibri" w:hAnsi="Calibri" w:cs="Calibri"/>
        </w:rPr>
        <w:t>svátek svatého Martina letos připadá na pondělí, umožnil</w:t>
      </w:r>
      <w:r w:rsidR="09CDA87D" w:rsidRPr="7787A6BE">
        <w:rPr>
          <w:rFonts w:ascii="Calibri" w:hAnsi="Calibri" w:cs="Calibri"/>
        </w:rPr>
        <w:t xml:space="preserve"> Vinařský fond prodej Svatomartinských vín již </w:t>
      </w:r>
      <w:r w:rsidR="030AE307" w:rsidRPr="7787A6BE">
        <w:rPr>
          <w:rFonts w:ascii="Calibri" w:hAnsi="Calibri" w:cs="Calibri"/>
        </w:rPr>
        <w:t>od</w:t>
      </w:r>
      <w:r w:rsidR="09CDA87D" w:rsidRPr="7787A6BE">
        <w:rPr>
          <w:rFonts w:ascii="Calibri" w:hAnsi="Calibri" w:cs="Calibri"/>
        </w:rPr>
        <w:t> pátk</w:t>
      </w:r>
      <w:r w:rsidR="5764BE1D" w:rsidRPr="7787A6BE">
        <w:rPr>
          <w:rFonts w:ascii="Calibri" w:hAnsi="Calibri" w:cs="Calibri"/>
        </w:rPr>
        <w:t>u</w:t>
      </w:r>
      <w:r w:rsidR="09CDA87D" w:rsidRPr="7787A6BE">
        <w:rPr>
          <w:rFonts w:ascii="Calibri" w:hAnsi="Calibri" w:cs="Calibri"/>
        </w:rPr>
        <w:t xml:space="preserve"> 8. listopadu</w:t>
      </w:r>
      <w:r w:rsidR="24D0D924" w:rsidRPr="7787A6BE">
        <w:rPr>
          <w:rFonts w:ascii="Calibri" w:hAnsi="Calibri" w:cs="Calibri"/>
        </w:rPr>
        <w:t>, aby se naplno využil bezprostředně předcházející víkend</w:t>
      </w:r>
      <w:r w:rsidR="791EBD12" w:rsidRPr="7787A6BE">
        <w:rPr>
          <w:rFonts w:ascii="Calibri" w:hAnsi="Calibri" w:cs="Calibri"/>
        </w:rPr>
        <w:t>.</w:t>
      </w:r>
      <w:r w:rsidR="09CDA87D" w:rsidRPr="7787A6BE">
        <w:rPr>
          <w:rFonts w:ascii="Calibri" w:hAnsi="Calibri" w:cs="Calibri"/>
        </w:rPr>
        <w:t xml:space="preserve"> Spolu s otevřením prvních lahví zároveň </w:t>
      </w:r>
      <w:r w:rsidR="6C5111CC" w:rsidRPr="7787A6BE">
        <w:rPr>
          <w:rFonts w:ascii="Calibri" w:hAnsi="Calibri" w:cs="Calibri"/>
        </w:rPr>
        <w:t xml:space="preserve">od tohoto data </w:t>
      </w:r>
      <w:r w:rsidR="09CDA87D" w:rsidRPr="7787A6BE">
        <w:rPr>
          <w:rFonts w:ascii="Calibri" w:hAnsi="Calibri" w:cs="Calibri"/>
        </w:rPr>
        <w:t xml:space="preserve">odstartuje celá řada svatomartinských akcí a slavností napříč republikou, které potrvají minimálně do konce listopadu. Největší ochutnávkou Svatomartinských vín je tradičně </w:t>
      </w:r>
      <w:r w:rsidR="09CDA87D" w:rsidRPr="7787A6BE">
        <w:rPr>
          <w:rFonts w:ascii="Calibri" w:hAnsi="Calibri" w:cs="Calibri"/>
          <w:b/>
          <w:bCs/>
        </w:rPr>
        <w:t>Svatomartinský košt v Brně</w:t>
      </w:r>
      <w:r w:rsidR="09CDA87D" w:rsidRPr="7787A6BE">
        <w:rPr>
          <w:rFonts w:ascii="Calibri" w:hAnsi="Calibri" w:cs="Calibri"/>
        </w:rPr>
        <w:t xml:space="preserve">, který 11. 11. od 11 hodin na brněnském </w:t>
      </w:r>
      <w:r w:rsidR="09CDA87D" w:rsidRPr="7787A6BE">
        <w:rPr>
          <w:rFonts w:ascii="Calibri" w:hAnsi="Calibri" w:cs="Calibri"/>
        </w:rPr>
        <w:lastRenderedPageBreak/>
        <w:t xml:space="preserve">náměstí Svobody tradičně organizuje Vinařský fond. Přehled svatomartinských akcí naleznete na </w:t>
      </w:r>
      <w:hyperlink r:id="rId11">
        <w:r w:rsidR="09CDA87D" w:rsidRPr="7787A6BE">
          <w:rPr>
            <w:rStyle w:val="Hypertextovodkaz"/>
            <w:rFonts w:ascii="Calibri" w:hAnsi="Calibri" w:cs="Calibri"/>
          </w:rPr>
          <w:t>www.vinazmoravyvinazcech.cz</w:t>
        </w:r>
      </w:hyperlink>
      <w:r w:rsidR="09CDA87D" w:rsidRPr="7787A6BE">
        <w:rPr>
          <w:rFonts w:ascii="Calibri" w:hAnsi="Calibri" w:cs="Calibri"/>
        </w:rPr>
        <w:t>.</w:t>
      </w:r>
    </w:p>
    <w:p w14:paraId="7800A720" w14:textId="77777777" w:rsidR="00F177F5" w:rsidRPr="00CD609F" w:rsidRDefault="00F177F5" w:rsidP="00F177F5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Jak snoubit Svatomartinská vína</w:t>
      </w:r>
    </w:p>
    <w:p w14:paraId="4C187CF9" w14:textId="77777777" w:rsidR="00F177F5" w:rsidRPr="00CD609F" w:rsidRDefault="00F177F5" w:rsidP="00F177F5">
      <w:pPr>
        <w:jc w:val="both"/>
        <w:rPr>
          <w:rFonts w:ascii="Calibri" w:hAnsi="Calibri" w:cs="Calibri"/>
          <w:b/>
          <w:bCs/>
        </w:rPr>
      </w:pPr>
      <w:r w:rsidRPr="00CD609F">
        <w:rPr>
          <w:rFonts w:ascii="Calibri" w:hAnsi="Calibri" w:cs="Calibri"/>
          <w:i/>
          <w:iCs/>
        </w:rPr>
        <w:t>„Tato mladá vína přinášejí svěžest a radost z nové sezóny a jsou ideálním společníkem nejen k tradičním svatomartinským husám, ale i pro ty, kdo chtějí jako první ochutnat letošní plody moravských a českých vinic,“</w:t>
      </w:r>
      <w:r w:rsidRPr="00CD609F">
        <w:rPr>
          <w:rFonts w:ascii="Calibri" w:hAnsi="Calibri" w:cs="Calibri"/>
        </w:rPr>
        <w:t xml:space="preserve"> prozradila hlavní sommelierka společnosti BOHEMIA SEKT Denisa Kolaříková. </w:t>
      </w:r>
    </w:p>
    <w:p w14:paraId="38D73F74" w14:textId="41FD8143" w:rsidR="00F177F5" w:rsidRDefault="00F177F5" w:rsidP="00F177F5">
      <w:pPr>
        <w:jc w:val="both"/>
        <w:rPr>
          <w:rFonts w:ascii="Calibri" w:hAnsi="Calibri" w:cs="Calibri"/>
        </w:rPr>
      </w:pPr>
      <w:r w:rsidRPr="00CD609F">
        <w:rPr>
          <w:rFonts w:ascii="Calibri" w:hAnsi="Calibri" w:cs="Calibri"/>
        </w:rPr>
        <w:t xml:space="preserve">Svatomartinská vína se stala pevnou součástí listopadové tradice a jejich obliba každoročně propojuje vinaře, znalce i gurmány. </w:t>
      </w:r>
      <w:r>
        <w:rPr>
          <w:rFonts w:ascii="Calibri" w:hAnsi="Calibri" w:cs="Calibri"/>
        </w:rPr>
        <w:t>Spojení těchto vín</w:t>
      </w:r>
      <w:r w:rsidRPr="00CD609F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 </w:t>
      </w:r>
      <w:r w:rsidRPr="00CD609F">
        <w:rPr>
          <w:rFonts w:ascii="Calibri" w:hAnsi="Calibri" w:cs="Calibri"/>
        </w:rPr>
        <w:t>typickými</w:t>
      </w:r>
      <w:r>
        <w:rPr>
          <w:rFonts w:ascii="Calibri" w:hAnsi="Calibri" w:cs="Calibri"/>
        </w:rPr>
        <w:t xml:space="preserve"> sezónními</w:t>
      </w:r>
      <w:r w:rsidRPr="00CD609F">
        <w:rPr>
          <w:rFonts w:ascii="Calibri" w:hAnsi="Calibri" w:cs="Calibri"/>
        </w:rPr>
        <w:t xml:space="preserve"> pokrmy </w:t>
      </w:r>
      <w:r>
        <w:rPr>
          <w:rFonts w:ascii="Calibri" w:hAnsi="Calibri" w:cs="Calibri"/>
        </w:rPr>
        <w:t>slibuje</w:t>
      </w:r>
      <w:r w:rsidRPr="00CD60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výjimečný</w:t>
      </w:r>
      <w:r w:rsidRPr="00CD609F">
        <w:rPr>
          <w:rFonts w:ascii="Calibri" w:hAnsi="Calibri" w:cs="Calibri"/>
        </w:rPr>
        <w:t xml:space="preserve"> gastronomický zážitek. </w:t>
      </w:r>
      <w:r w:rsidRPr="00CD609F">
        <w:rPr>
          <w:rFonts w:ascii="Calibri" w:hAnsi="Calibri" w:cs="Calibri"/>
          <w:i/>
          <w:iCs/>
        </w:rPr>
        <w:t>„K játrové paštice s brusinkami se výtečně hodí Víno Mikulov Svatomartinské Müller Thurgau. K husímu kaldounu bych zvolila bílé Svatomartinské Zweigeltrebe klaret z vinařství Víno Mikulov, které je vyrobeno z modrých hroznů a k hlavnímu chodu je jasnou volbou Modrý Portugal s jemnou tříslovinou, který bezvadně doplňuje chuť propečené husy a zároveň pomůže ulehčit trávení,“</w:t>
      </w:r>
      <w:r w:rsidRPr="00CD609F">
        <w:rPr>
          <w:rFonts w:ascii="Calibri" w:hAnsi="Calibri" w:cs="Calibri"/>
        </w:rPr>
        <w:t xml:space="preserve"> doporučuje Denisa Kolaříková. </w:t>
      </w:r>
    </w:p>
    <w:p w14:paraId="0F025565" w14:textId="77777777" w:rsidR="002A2056" w:rsidRDefault="002A2056" w:rsidP="002A2056">
      <w:pPr>
        <w:tabs>
          <w:tab w:val="num" w:pos="72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Budoucnost vinařství? Nevyzpytatelné počasí a n</w:t>
      </w:r>
      <w:r w:rsidRPr="00BB4CE3">
        <w:rPr>
          <w:rFonts w:ascii="Calibri" w:hAnsi="Calibri" w:cs="Calibri"/>
          <w:b/>
          <w:bCs/>
        </w:rPr>
        <w:t>ižší produkce</w:t>
      </w:r>
    </w:p>
    <w:p w14:paraId="6792CED8" w14:textId="11A6E3D3" w:rsidR="002A2056" w:rsidRPr="00BB4CE3" w:rsidRDefault="09CDA87D" w:rsidP="4F833C02">
      <w:pPr>
        <w:jc w:val="both"/>
        <w:rPr>
          <w:rFonts w:ascii="Calibri" w:hAnsi="Calibri" w:cs="Calibri"/>
        </w:rPr>
      </w:pPr>
      <w:r w:rsidRPr="7787A6BE">
        <w:rPr>
          <w:rFonts w:ascii="Calibri" w:hAnsi="Calibri" w:cs="Calibri"/>
        </w:rPr>
        <w:t xml:space="preserve">Rok 2024 přinesl vinařům výjimečně náročné klimatické podmínky. </w:t>
      </w:r>
      <w:r w:rsidRPr="7787A6BE">
        <w:rPr>
          <w:rFonts w:ascii="Calibri" w:hAnsi="Calibri" w:cs="Calibri"/>
          <w:b/>
          <w:bCs/>
        </w:rPr>
        <w:t>Dubnové mrazy poškodily až 90 % vinic v Čechách a přibližně 2</w:t>
      </w:r>
      <w:r w:rsidR="3DDFE7D0" w:rsidRPr="7787A6BE">
        <w:rPr>
          <w:rFonts w:ascii="Calibri" w:hAnsi="Calibri" w:cs="Calibri"/>
          <w:b/>
          <w:bCs/>
        </w:rPr>
        <w:t>0-</w:t>
      </w:r>
      <w:r w:rsidRPr="7787A6BE">
        <w:rPr>
          <w:rFonts w:ascii="Calibri" w:hAnsi="Calibri" w:cs="Calibri"/>
          <w:b/>
          <w:bCs/>
        </w:rPr>
        <w:t>3</w:t>
      </w:r>
      <w:r w:rsidR="3DDFE7D0" w:rsidRPr="7787A6BE">
        <w:rPr>
          <w:rFonts w:ascii="Calibri" w:hAnsi="Calibri" w:cs="Calibri"/>
          <w:b/>
          <w:bCs/>
        </w:rPr>
        <w:t>0</w:t>
      </w:r>
      <w:r w:rsidRPr="7787A6BE">
        <w:rPr>
          <w:rFonts w:ascii="Calibri" w:hAnsi="Calibri" w:cs="Calibri"/>
          <w:b/>
          <w:bCs/>
        </w:rPr>
        <w:t xml:space="preserve"> % na Moravě.</w:t>
      </w:r>
      <w:r w:rsidRPr="7787A6BE">
        <w:rPr>
          <w:rFonts w:ascii="Calibri" w:hAnsi="Calibri" w:cs="Calibri"/>
        </w:rPr>
        <w:t xml:space="preserve"> </w:t>
      </w:r>
      <w:r w:rsidRPr="7787A6BE">
        <w:rPr>
          <w:rFonts w:ascii="Calibri" w:hAnsi="Calibri" w:cs="Calibri"/>
          <w:i/>
          <w:iCs/>
        </w:rPr>
        <w:t xml:space="preserve">„Teplé počasí na konci zimy a v předjaří urychlilo vývoj révy až o měsíc, mrazy v dubnu proto zastihly révu v kritické fázi vývoje“ </w:t>
      </w:r>
      <w:r w:rsidRPr="7787A6BE">
        <w:rPr>
          <w:rFonts w:ascii="Calibri" w:hAnsi="Calibri" w:cs="Calibri"/>
        </w:rPr>
        <w:t>uvádí bioklimatolog Martin Možný.</w:t>
      </w:r>
      <w:r w:rsidRPr="7787A6BE">
        <w:rPr>
          <w:rFonts w:ascii="Calibri" w:hAnsi="Calibri" w:cs="Calibri"/>
          <w:i/>
          <w:iCs/>
        </w:rPr>
        <w:t xml:space="preserve"> </w:t>
      </w:r>
      <w:r w:rsidRPr="7787A6BE">
        <w:rPr>
          <w:rFonts w:ascii="Calibri" w:hAnsi="Calibri" w:cs="Calibri"/>
        </w:rPr>
        <w:t>Následovalo dlouhé suché léto s extrémními teplotami, které uspíšilo sklizeň na počátek srpna, což je na mnoha místech historicky nejranější termín.</w:t>
      </w:r>
    </w:p>
    <w:p w14:paraId="0616156E" w14:textId="02B44636" w:rsidR="002A2056" w:rsidRPr="00A83A21" w:rsidRDefault="09CDA87D" w:rsidP="7787A6BE">
      <w:pPr>
        <w:tabs>
          <w:tab w:val="num" w:pos="720"/>
        </w:tabs>
        <w:jc w:val="both"/>
        <w:rPr>
          <w:rFonts w:ascii="Calibri" w:hAnsi="Calibri" w:cs="Calibri"/>
          <w:i/>
          <w:iCs/>
        </w:rPr>
      </w:pPr>
      <w:r w:rsidRPr="7787A6BE">
        <w:rPr>
          <w:rFonts w:ascii="Calibri" w:hAnsi="Calibri" w:cs="Calibri"/>
        </w:rPr>
        <w:t xml:space="preserve">Mnohé odrůdy dozrávaly současně, což vytvořilo extrémní tlak na logistiku sklizně </w:t>
      </w:r>
      <w:r w:rsidR="6D094CD5" w:rsidRPr="7787A6BE">
        <w:rPr>
          <w:rFonts w:ascii="Calibri" w:hAnsi="Calibri" w:cs="Calibri"/>
        </w:rPr>
        <w:t xml:space="preserve">a jejich zpracování </w:t>
      </w:r>
      <w:r w:rsidRPr="7787A6BE">
        <w:rPr>
          <w:rFonts w:ascii="Calibri" w:hAnsi="Calibri" w:cs="Calibri"/>
        </w:rPr>
        <w:t xml:space="preserve">a vyžadovalo přehodnocení zavedených postupů. </w:t>
      </w:r>
      <w:r w:rsidRPr="7787A6BE">
        <w:rPr>
          <w:rFonts w:ascii="Calibri" w:hAnsi="Calibri" w:cs="Calibri"/>
          <w:i/>
          <w:iCs/>
        </w:rPr>
        <w:t>„Často jsme sklízeli v noci a brzy ráno, abychom zachovali kvalitu hroznů, což se pozitivně projevilo zejména u pozdnějších odrůd a vín z modrých hroznů,“</w:t>
      </w:r>
      <w:r w:rsidRPr="7787A6BE">
        <w:rPr>
          <w:rFonts w:ascii="Calibri" w:hAnsi="Calibri" w:cs="Calibri"/>
        </w:rPr>
        <w:t xml:space="preserve"> řekl Bořek Svoboda, ředitel Zámeckého vinařství Bzenec. </w:t>
      </w:r>
      <w:r w:rsidRPr="7787A6BE">
        <w:rPr>
          <w:rFonts w:ascii="Calibri" w:hAnsi="Calibri" w:cs="Calibri"/>
          <w:i/>
          <w:iCs/>
        </w:rPr>
        <w:t xml:space="preserve">„Letošní sklizeň jsme zahájili hned zkraje srpna a můžeme říct, že to byla naše nejranější a </w:t>
      </w:r>
      <w:r w:rsidR="3DDFE7D0" w:rsidRPr="7787A6BE">
        <w:rPr>
          <w:rFonts w:ascii="Calibri" w:hAnsi="Calibri" w:cs="Calibri"/>
          <w:i/>
          <w:iCs/>
        </w:rPr>
        <w:t xml:space="preserve">zároveň </w:t>
      </w:r>
      <w:r w:rsidRPr="7787A6BE">
        <w:rPr>
          <w:rFonts w:ascii="Calibri" w:hAnsi="Calibri" w:cs="Calibri"/>
          <w:i/>
          <w:iCs/>
        </w:rPr>
        <w:t xml:space="preserve">nejkratší sklizeň,“ </w:t>
      </w:r>
      <w:r w:rsidRPr="7787A6BE">
        <w:rPr>
          <w:rFonts w:ascii="Calibri" w:hAnsi="Calibri" w:cs="Calibri"/>
        </w:rPr>
        <w:t>uvedl Petr Ptáček, ředitel vinařství Habánské sklepy.</w:t>
      </w:r>
    </w:p>
    <w:p w14:paraId="5678B3B4" w14:textId="7A82670A" w:rsidR="00F177F5" w:rsidRPr="008C6F66" w:rsidRDefault="09CDA87D" w:rsidP="4F833C02">
      <w:pPr>
        <w:jc w:val="both"/>
        <w:rPr>
          <w:rFonts w:ascii="Calibri" w:hAnsi="Calibri" w:cs="Calibri"/>
        </w:rPr>
      </w:pPr>
      <w:r w:rsidRPr="7787A6BE">
        <w:rPr>
          <w:rFonts w:ascii="Calibri" w:hAnsi="Calibri" w:cs="Calibri"/>
        </w:rPr>
        <w:t xml:space="preserve">Podle dat Vinařské unie zaznamenala většina moravských vinařství </w:t>
      </w:r>
      <w:r w:rsidRPr="7787A6BE">
        <w:rPr>
          <w:rFonts w:ascii="Calibri" w:hAnsi="Calibri" w:cs="Calibri"/>
          <w:b/>
          <w:bCs/>
        </w:rPr>
        <w:t xml:space="preserve">pokles produkce v průměru o </w:t>
      </w:r>
      <w:r w:rsidR="4D6EA977" w:rsidRPr="7787A6BE">
        <w:rPr>
          <w:rFonts w:ascii="Calibri" w:hAnsi="Calibri" w:cs="Calibri"/>
          <w:b/>
          <w:bCs/>
        </w:rPr>
        <w:t>30</w:t>
      </w:r>
      <w:r w:rsidRPr="7787A6BE">
        <w:rPr>
          <w:rFonts w:ascii="Calibri" w:hAnsi="Calibri" w:cs="Calibri"/>
          <w:b/>
          <w:bCs/>
        </w:rPr>
        <w:t xml:space="preserve"> % oproti loňsku</w:t>
      </w:r>
      <w:r w:rsidRPr="7787A6BE">
        <w:rPr>
          <w:rFonts w:ascii="Calibri" w:hAnsi="Calibri" w:cs="Calibri"/>
        </w:rPr>
        <w:t xml:space="preserve">, což bude mít dopad na trh vín v příštím roce. </w:t>
      </w:r>
      <w:r w:rsidRPr="7787A6BE">
        <w:rPr>
          <w:rFonts w:ascii="Calibri" w:hAnsi="Calibri" w:cs="Calibri"/>
          <w:i/>
          <w:iCs/>
        </w:rPr>
        <w:t xml:space="preserve">„Pokles produkce hroznů se projevil u většiny </w:t>
      </w:r>
      <w:r w:rsidR="66F23BD0" w:rsidRPr="7787A6BE">
        <w:rPr>
          <w:rFonts w:ascii="Calibri" w:hAnsi="Calibri" w:cs="Calibri"/>
          <w:i/>
          <w:iCs/>
        </w:rPr>
        <w:t>pěstitelů</w:t>
      </w:r>
      <w:r w:rsidRPr="7787A6BE">
        <w:rPr>
          <w:rFonts w:ascii="Calibri" w:hAnsi="Calibri" w:cs="Calibri"/>
          <w:i/>
          <w:iCs/>
        </w:rPr>
        <w:t>, avšak s velkými regionálními rozdíly, v některých lokalitách hlásí propady až o 50 %. Je zřejmé, že hroznů s deklarovaným moravským původem bude málo,“</w:t>
      </w:r>
      <w:r w:rsidRPr="7787A6BE">
        <w:rPr>
          <w:rFonts w:ascii="Calibri" w:hAnsi="Calibri" w:cs="Calibri"/>
        </w:rPr>
        <w:t xml:space="preserve"> doplňuje Ondřej Beránek, prezident Vinařské unie. „</w:t>
      </w:r>
      <w:r w:rsidRPr="7787A6BE">
        <w:rPr>
          <w:rFonts w:ascii="Calibri" w:hAnsi="Calibri" w:cs="Calibri"/>
          <w:i/>
          <w:iCs/>
        </w:rPr>
        <w:t xml:space="preserve">Letošní ročník </w:t>
      </w:r>
      <w:r w:rsidR="654ED441" w:rsidRPr="7787A6BE">
        <w:rPr>
          <w:rFonts w:ascii="Calibri" w:hAnsi="Calibri" w:cs="Calibri"/>
          <w:i/>
          <w:iCs/>
        </w:rPr>
        <w:t xml:space="preserve">nám </w:t>
      </w:r>
      <w:r w:rsidRPr="7787A6BE">
        <w:rPr>
          <w:rFonts w:ascii="Calibri" w:hAnsi="Calibri" w:cs="Calibri"/>
          <w:i/>
          <w:iCs/>
        </w:rPr>
        <w:t>opět připomn</w:t>
      </w:r>
      <w:r w:rsidR="654ED441" w:rsidRPr="7787A6BE">
        <w:rPr>
          <w:rFonts w:ascii="Calibri" w:hAnsi="Calibri" w:cs="Calibri"/>
          <w:i/>
          <w:iCs/>
        </w:rPr>
        <w:t>ěl</w:t>
      </w:r>
      <w:r w:rsidRPr="7787A6BE">
        <w:rPr>
          <w:rFonts w:ascii="Calibri" w:hAnsi="Calibri" w:cs="Calibri"/>
          <w:i/>
          <w:iCs/>
        </w:rPr>
        <w:t>, jak závislí jsme na přírodě</w:t>
      </w:r>
      <w:r w:rsidR="654ED441" w:rsidRPr="7787A6BE">
        <w:rPr>
          <w:rFonts w:ascii="Calibri" w:hAnsi="Calibri" w:cs="Calibri"/>
          <w:i/>
          <w:iCs/>
        </w:rPr>
        <w:t>,</w:t>
      </w:r>
      <w:r w:rsidRPr="7787A6BE">
        <w:rPr>
          <w:rFonts w:ascii="Calibri" w:hAnsi="Calibri" w:cs="Calibri"/>
          <w:i/>
          <w:iCs/>
        </w:rPr>
        <w:t xml:space="preserve"> a že to, co platilo v minulém století, už dnes nefunguje. Investice do inovací a </w:t>
      </w:r>
      <w:r w:rsidR="654ED441" w:rsidRPr="7787A6BE">
        <w:rPr>
          <w:rFonts w:ascii="Calibri" w:hAnsi="Calibri" w:cs="Calibri"/>
          <w:i/>
          <w:iCs/>
        </w:rPr>
        <w:t xml:space="preserve">hledání </w:t>
      </w:r>
      <w:r w:rsidRPr="7787A6BE">
        <w:rPr>
          <w:rFonts w:ascii="Calibri" w:hAnsi="Calibri" w:cs="Calibri"/>
          <w:i/>
          <w:iCs/>
        </w:rPr>
        <w:t xml:space="preserve">nových postupů je nutností, abychom byli schopni reagovat a udržet vysokou kvalitu a tradici moravských vín,“ </w:t>
      </w:r>
      <w:r w:rsidRPr="7787A6BE">
        <w:rPr>
          <w:rFonts w:ascii="Calibri" w:hAnsi="Calibri" w:cs="Calibri"/>
        </w:rPr>
        <w:t>uzavřel Ondřej Beránek.</w:t>
      </w:r>
    </w:p>
    <w:tbl>
      <w:tblPr>
        <w:tblW w:w="90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720"/>
        <w:gridCol w:w="520"/>
        <w:gridCol w:w="1166"/>
        <w:gridCol w:w="14"/>
        <w:gridCol w:w="353"/>
        <w:gridCol w:w="3177"/>
        <w:gridCol w:w="1118"/>
      </w:tblGrid>
      <w:tr w:rsidR="4F833C02" w:rsidRPr="00F177F5" w14:paraId="077DE50B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4074675F" w14:textId="590EAD28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Odrůda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4CD82AC4" w14:textId="55071408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Celkem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5C19F77" w14:textId="3C6A5E4F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1805FEE0" w14:textId="0151E855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Jakostní zařazení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0E4441C8" w14:textId="3352E90C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4F833C02" w:rsidRPr="00F177F5" w14:paraId="78F1E582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39CF92" w14:textId="2569C34E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Müller Thurgau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3CEE7" w14:textId="3F0E1866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7</w:t>
            </w:r>
            <w:r w:rsidR="72DE0066"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09A792C" w14:textId="518BC3AD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B17C5" w14:textId="34BE42F9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Moravské zemské víno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4393B2" w14:textId="3425A7D2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2</w:t>
            </w:r>
            <w:r w:rsidR="21BCEDD2"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99</w:t>
            </w:r>
          </w:p>
        </w:tc>
      </w:tr>
      <w:tr w:rsidR="4F833C02" w:rsidRPr="00F177F5" w14:paraId="46E92A73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004854" w14:textId="18418949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Muškát moravský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777BB" w14:textId="384A5280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4</w:t>
            </w:r>
            <w:r w:rsidR="1E46D8D1"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0C0E2F" w14:textId="421F36A3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0ED0C" w14:textId="488093BC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Jakostní víno odrůdové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86156A" w14:textId="50203512" w:rsidR="3423F1B1" w:rsidRPr="00F177F5" w:rsidRDefault="3423F1B1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</w:tr>
      <w:tr w:rsidR="4F833C02" w:rsidRPr="00F177F5" w14:paraId="0C47F265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C9318" w14:textId="2B4B72FB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Veltlínské červené rané 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AA427" w14:textId="7F519184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20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88CAF6" w14:textId="12F705BF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E28F5" w14:textId="39B9671E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Pozdní sběr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C90CE" w14:textId="439F110E" w:rsidR="03941618" w:rsidRPr="00F177F5" w:rsidRDefault="03941618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4F833C02" w:rsidRPr="00F177F5" w14:paraId="5B6E8423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9EF885" w14:textId="10262DCE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Svatovavřinecké (rosé, klaret)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3ED47A" w14:textId="7ECA43D2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34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54E0182" w14:textId="06D464DB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B6DEE" w14:textId="5A2D2DF0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Kabinetní víno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DAB58D" w14:textId="7F3941FA" w:rsidR="696566AE" w:rsidRPr="00F177F5" w:rsidRDefault="696566AE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</w:tr>
      <w:tr w:rsidR="4F833C02" w:rsidRPr="00F177F5" w14:paraId="2AB767FB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6E4F9" w14:textId="1D358128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Modrý Portugal (rosé, klaret)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F82954" w14:textId="7F0FB04A" w:rsidR="324346D7" w:rsidRPr="00F177F5" w:rsidRDefault="324346D7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608347" w14:textId="5F3A2F20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DCF737" w14:textId="780FB6A0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České zemské víno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A5327" w14:textId="1903ECA2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  <w:tr w:rsidR="4F833C02" w:rsidRPr="00F177F5" w14:paraId="617A5B21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59EA4" w14:textId="7757E91E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Zweigeltrebe (rosé a klaret)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E15AB" w14:textId="66CDA824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5</w:t>
            </w:r>
            <w:r w:rsidR="1CF87C01"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808719C" w14:textId="57712D5F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C68424C" w14:textId="4B33B83F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8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BB2E57B" w14:textId="4B22C458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4F833C02" w:rsidRPr="00F177F5" w14:paraId="6E45E14B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9DAF9" w14:textId="38031242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Svatovavřinecké (červené)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6DC0D" w14:textId="37D9A867" w:rsidR="17F6FFB0" w:rsidRPr="00F177F5" w:rsidRDefault="17F6FFB0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24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69D4A50" w14:textId="1973DF75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6B314C55" w14:textId="03CC844C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Kategorie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76CE5E7F" w14:textId="65112085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4F833C02" w:rsidRPr="00F177F5" w14:paraId="17AC4231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D5B5E" w14:textId="44A1B7E7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Modrý Portugal (červené)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8DBE0C" w14:textId="1BD734AB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5</w:t>
            </w:r>
            <w:r w:rsidR="4F7FB339"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2314F6" w14:textId="48D39068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F086DA" w14:textId="7DF7CF08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Svatomartinské bílé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7B4766" w14:textId="49472DD1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144</w:t>
            </w:r>
          </w:p>
        </w:tc>
      </w:tr>
      <w:tr w:rsidR="00537BA4" w:rsidRPr="00F177F5" w14:paraId="6F4CE2EE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355AE" w14:textId="71C985D2" w:rsidR="00537BA4" w:rsidRPr="00F177F5" w:rsidRDefault="00537BA4" w:rsidP="00537BA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Cuvée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BADE03" w14:textId="5B1FB7F5" w:rsidR="00537BA4" w:rsidRPr="00F177F5" w:rsidRDefault="00537BA4" w:rsidP="00537BA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E3EA50" w14:textId="77777777" w:rsidR="00537BA4" w:rsidRPr="00F177F5" w:rsidRDefault="00537BA4" w:rsidP="00537BA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A0D502" w14:textId="518D60D1" w:rsidR="00537BA4" w:rsidRPr="00F177F5" w:rsidRDefault="00537BA4" w:rsidP="00537BA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Svatomartinské rosé a klarety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86E51" w14:textId="37C817C1" w:rsidR="00537BA4" w:rsidRPr="00F177F5" w:rsidRDefault="00537BA4" w:rsidP="00537BA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92</w:t>
            </w:r>
          </w:p>
        </w:tc>
      </w:tr>
      <w:tr w:rsidR="00537BA4" w:rsidRPr="00F177F5" w14:paraId="7C661A85" w14:textId="77777777" w:rsidTr="00F177F5">
        <w:trPr>
          <w:trHeight w:val="2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0258A8" w14:textId="2BB5B681" w:rsidR="00537BA4" w:rsidRPr="00F177F5" w:rsidRDefault="00537BA4" w:rsidP="00537BA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Celkem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0FE745" w14:textId="36828B94" w:rsidR="00537BA4" w:rsidRPr="00F177F5" w:rsidRDefault="00537BA4" w:rsidP="00537BA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  <w:r w:rsidR="0055031F" w:rsidRPr="00F177F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  <w:tc>
          <w:tcPr>
            <w:tcW w:w="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1280B6C" w14:textId="77777777" w:rsidR="00537BA4" w:rsidRPr="00F177F5" w:rsidRDefault="00537BA4" w:rsidP="00537BA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B0168" w14:textId="4994FA10" w:rsidR="00537BA4" w:rsidRPr="00F177F5" w:rsidRDefault="00537BA4" w:rsidP="00537BA4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Svatomartinské červené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81BE16" w14:textId="734A07E8" w:rsidR="00537BA4" w:rsidRPr="00F177F5" w:rsidRDefault="00537BA4" w:rsidP="00537BA4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74</w:t>
            </w:r>
          </w:p>
        </w:tc>
      </w:tr>
      <w:tr w:rsidR="4F833C02" w:rsidRPr="00F177F5" w14:paraId="4E01D9BB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7C6B98D2" w14:textId="2B270679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lastRenderedPageBreak/>
              <w:t>Vinařská podoblast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31342"/>
            <w:tcMar>
              <w:left w:w="108" w:type="dxa"/>
              <w:right w:w="108" w:type="dxa"/>
            </w:tcMar>
            <w:vAlign w:val="center"/>
          </w:tcPr>
          <w:p w14:paraId="4605691D" w14:textId="014A3589" w:rsidR="4F833C02" w:rsidRPr="00F177F5" w:rsidRDefault="4F833C02" w:rsidP="4F833C02">
            <w:pPr>
              <w:spacing w:after="0"/>
              <w:jc w:val="center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Celkem</w:t>
            </w:r>
          </w:p>
        </w:tc>
      </w:tr>
      <w:tr w:rsidR="4F833C02" w:rsidRPr="00F177F5" w14:paraId="61346815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810FBE" w14:textId="0BDD755E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Velkopavlovická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E9788" w14:textId="61EE789E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124</w:t>
            </w:r>
          </w:p>
        </w:tc>
      </w:tr>
      <w:tr w:rsidR="4F833C02" w:rsidRPr="00F177F5" w14:paraId="5868B95D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E7EBF" w14:textId="564267FF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Slovácká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D1A954" w14:textId="7F2E0454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51</w:t>
            </w:r>
          </w:p>
        </w:tc>
      </w:tr>
      <w:tr w:rsidR="4F833C02" w:rsidRPr="00F177F5" w14:paraId="1FF0999F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6FC8F" w14:textId="693056AA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Mikulovská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DE209" w14:textId="0D211FAB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45</w:t>
            </w:r>
          </w:p>
        </w:tc>
      </w:tr>
      <w:tr w:rsidR="4F833C02" w:rsidRPr="00F177F5" w14:paraId="27509D8F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0F6644" w14:textId="4936978D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Znojemská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877608" w14:textId="0F7D6F19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</w:tr>
      <w:tr w:rsidR="4F833C02" w:rsidRPr="00F177F5" w14:paraId="49DE7763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73613" w14:textId="7E50E22C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Morava – bez podoblasti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936C0" w14:textId="54935567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79</w:t>
            </w:r>
          </w:p>
        </w:tc>
      </w:tr>
      <w:tr w:rsidR="4F833C02" w:rsidRPr="00F177F5" w14:paraId="6AB47AF2" w14:textId="77777777" w:rsidTr="00F177F5">
        <w:trPr>
          <w:gridAfter w:val="4"/>
          <w:wAfter w:w="4662" w:type="dxa"/>
          <w:trHeight w:val="2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2A484D" w14:textId="49A65FAB" w:rsidR="4F833C02" w:rsidRPr="00F177F5" w:rsidRDefault="4F833C02" w:rsidP="4F833C02">
            <w:pPr>
              <w:spacing w:after="0"/>
              <w:rPr>
                <w:sz w:val="20"/>
                <w:szCs w:val="20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Mělnická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59115" w14:textId="62F02CBE" w:rsidR="4F833C02" w:rsidRPr="00F177F5" w:rsidRDefault="4F833C02" w:rsidP="4F833C02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F177F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</w:tr>
    </w:tbl>
    <w:p w14:paraId="04E949F7" w14:textId="77777777" w:rsidR="0055031F" w:rsidRDefault="0055031F" w:rsidP="002A2056">
      <w:pPr>
        <w:rPr>
          <w:rFonts w:ascii="Calibri" w:hAnsi="Calibri" w:cs="Calibri"/>
          <w:b/>
          <w:bCs/>
        </w:rPr>
      </w:pPr>
    </w:p>
    <w:p w14:paraId="09C86785" w14:textId="04C72A3A" w:rsidR="002A2056" w:rsidRPr="0055031F" w:rsidRDefault="00537BA4" w:rsidP="002A2056">
      <w:pPr>
        <w:rPr>
          <w:rFonts w:ascii="Calibri" w:hAnsi="Calibri" w:cs="Calibri"/>
          <w:b/>
          <w:bCs/>
          <w:i/>
          <w:iCs/>
        </w:rPr>
      </w:pPr>
      <w:r w:rsidRPr="0055031F">
        <w:rPr>
          <w:rFonts w:ascii="Calibri" w:hAnsi="Calibri" w:cs="Calibri"/>
          <w:b/>
          <w:bCs/>
          <w:i/>
          <w:iCs/>
        </w:rPr>
        <w:t>P</w:t>
      </w:r>
      <w:r w:rsidR="002A2056" w:rsidRPr="0055031F">
        <w:rPr>
          <w:rFonts w:ascii="Calibri" w:hAnsi="Calibri" w:cs="Calibri"/>
          <w:b/>
          <w:bCs/>
          <w:i/>
          <w:iCs/>
        </w:rPr>
        <w:t>odrobnosti pro editory:</w:t>
      </w:r>
    </w:p>
    <w:p w14:paraId="6837FE67" w14:textId="37404DAB" w:rsidR="002A2056" w:rsidRPr="0055031F" w:rsidRDefault="002A2056" w:rsidP="2518908B">
      <w:pPr>
        <w:pStyle w:val="Bezmezer"/>
        <w:jc w:val="both"/>
        <w:rPr>
          <w:rFonts w:ascii="Calibri" w:hAnsi="Calibri" w:cs="Calibri"/>
          <w:i/>
          <w:iCs/>
        </w:rPr>
      </w:pPr>
      <w:r w:rsidRPr="2518908B">
        <w:rPr>
          <w:rFonts w:ascii="Calibri" w:hAnsi="Calibri" w:cs="Calibri"/>
          <w:b/>
          <w:bCs/>
          <w:i/>
          <w:iCs/>
        </w:rPr>
        <w:t>Značka „Svatomartinské“</w:t>
      </w:r>
      <w:r w:rsidRPr="2518908B">
        <w:rPr>
          <w:rFonts w:ascii="Calibri" w:hAnsi="Calibri" w:cs="Calibri"/>
          <w:i/>
          <w:iCs/>
        </w:rPr>
        <w:t xml:space="preserve"> byla registrována v roce 1995 a od roku 2005 je jejím vlastníkem Vinařský fond. Ten ve spolupráci s Národním vinařským centrem organizuje propagaci těchto vín pod jednotným logem. </w:t>
      </w:r>
    </w:p>
    <w:p w14:paraId="4727B240" w14:textId="77777777" w:rsidR="002A2056" w:rsidRPr="0055031F" w:rsidRDefault="002A2056" w:rsidP="002A2056">
      <w:pPr>
        <w:pStyle w:val="Bezmezer"/>
        <w:jc w:val="both"/>
        <w:rPr>
          <w:rFonts w:ascii="Calibri" w:hAnsi="Calibri" w:cs="Calibri"/>
          <w:i/>
          <w:iCs/>
        </w:rPr>
      </w:pPr>
    </w:p>
    <w:p w14:paraId="224626D9" w14:textId="0DB91EAF" w:rsidR="002A2056" w:rsidRDefault="002A2056" w:rsidP="2518908B">
      <w:pPr>
        <w:pStyle w:val="Bezmezer"/>
        <w:jc w:val="both"/>
        <w:rPr>
          <w:rFonts w:ascii="Calibri" w:eastAsia="Calibri" w:hAnsi="Calibri" w:cs="Calibri"/>
          <w:i/>
          <w:iCs/>
        </w:rPr>
      </w:pPr>
      <w:r w:rsidRPr="2518908B">
        <w:rPr>
          <w:rFonts w:ascii="Calibri" w:eastAsia="Calibri" w:hAnsi="Calibri" w:cs="Calibri"/>
          <w:i/>
          <w:iCs/>
        </w:rPr>
        <w:t xml:space="preserve">Svatomartinské se může prodávat pouze v lahvích a ty musí být označeny známým logem svatého Martina na koni jednak na etiketě, jednak na kapsli nebo šroubovém uzávěru na hrdle. Na lahvi kromě symbolu sv. Martina najdete ještě sklenku v národních barvách, která garantuje původ vína z České republiky. Pouze vína, která díky své kvalitě uspějí u hodnocení, budou mít možnost nosit známku </w:t>
      </w:r>
      <w:r w:rsidRPr="2518908B">
        <w:rPr>
          <w:rFonts w:ascii="Calibri" w:eastAsia="Calibri" w:hAnsi="Calibri" w:cs="Calibri"/>
          <w:b/>
          <w:bCs/>
          <w:i/>
          <w:iCs/>
        </w:rPr>
        <w:t>Svatomartinské 2024</w:t>
      </w:r>
      <w:r w:rsidRPr="2518908B">
        <w:rPr>
          <w:rFonts w:ascii="Calibri" w:eastAsia="Calibri" w:hAnsi="Calibri" w:cs="Calibri"/>
          <w:i/>
          <w:iCs/>
        </w:rPr>
        <w:t xml:space="preserve">. Při bodování musí víno získat minimálně 80 bodů z celkových 100 bodů.  Hodnotí se čistota vína, barva, vůně, chuť a celkový dojem. Letošní ročník posuzovala odborná komise </w:t>
      </w:r>
      <w:r w:rsidRPr="2518908B">
        <w:rPr>
          <w:rFonts w:ascii="Calibri" w:eastAsia="Calibri" w:hAnsi="Calibri" w:cs="Calibri"/>
          <w:b/>
          <w:bCs/>
          <w:i/>
          <w:iCs/>
        </w:rPr>
        <w:t>22. října</w:t>
      </w:r>
      <w:r w:rsidRPr="2518908B">
        <w:rPr>
          <w:rFonts w:ascii="Calibri" w:eastAsia="Calibri" w:hAnsi="Calibri" w:cs="Calibri"/>
          <w:i/>
          <w:iCs/>
        </w:rPr>
        <w:t xml:space="preserve"> a </w:t>
      </w:r>
      <w:r w:rsidRPr="2518908B">
        <w:rPr>
          <w:rFonts w:ascii="Calibri" w:eastAsia="Calibri" w:hAnsi="Calibri" w:cs="Calibri"/>
          <w:b/>
          <w:bCs/>
          <w:i/>
          <w:iCs/>
        </w:rPr>
        <w:t>1. listopadu</w:t>
      </w:r>
      <w:r w:rsidRPr="2518908B">
        <w:rPr>
          <w:rFonts w:ascii="Calibri" w:eastAsia="Calibri" w:hAnsi="Calibri" w:cs="Calibri"/>
          <w:i/>
          <w:iCs/>
        </w:rPr>
        <w:t xml:space="preserve"> v Excelence centru ve Valticích.</w:t>
      </w:r>
      <w:r w:rsidR="15C735D7" w:rsidRPr="2518908B">
        <w:rPr>
          <w:rFonts w:ascii="Calibri" w:eastAsia="Calibri" w:hAnsi="Calibri" w:cs="Calibri"/>
          <w:i/>
          <w:iCs/>
        </w:rPr>
        <w:t xml:space="preserve"> </w:t>
      </w:r>
      <w:r w:rsidR="15C735D7" w:rsidRPr="2518908B">
        <w:rPr>
          <w:rFonts w:ascii="Calibri" w:eastAsia="Calibri" w:hAnsi="Calibri" w:cs="Calibri"/>
          <w:i/>
          <w:iCs/>
          <w:color w:val="000000" w:themeColor="text1"/>
        </w:rPr>
        <w:t>V roce 2023 šlo na trh rekordních 2,78 milionu lahví. Svatomartinského bylo 326 druhů od 76 výrobců.</w:t>
      </w:r>
    </w:p>
    <w:p w14:paraId="3F58ECA2" w14:textId="77777777" w:rsidR="002A2056" w:rsidRPr="000D4676" w:rsidRDefault="002A2056" w:rsidP="002A2056">
      <w:pPr>
        <w:pStyle w:val="Bezmezer"/>
        <w:jc w:val="both"/>
        <w:rPr>
          <w:rFonts w:ascii="Calibri" w:hAnsi="Calibri" w:cs="Calibri"/>
        </w:rPr>
      </w:pPr>
    </w:p>
    <w:p w14:paraId="517AE695" w14:textId="6E34EE37" w:rsidR="002A2056" w:rsidRDefault="0055031F" w:rsidP="0055031F">
      <w:pPr>
        <w:spacing w:after="0" w:line="240" w:lineRule="auto"/>
      </w:pPr>
      <w:r>
        <w:t>Kontakt pro média:</w:t>
      </w:r>
    </w:p>
    <w:p w14:paraId="444A5795" w14:textId="37F8E602" w:rsidR="0055031F" w:rsidRDefault="0055031F" w:rsidP="0055031F">
      <w:pPr>
        <w:spacing w:after="0" w:line="240" w:lineRule="auto"/>
      </w:pPr>
      <w:r>
        <w:t>Michaela Šetelík</w:t>
      </w:r>
    </w:p>
    <w:p w14:paraId="31BC455B" w14:textId="1C5B9C96" w:rsidR="0055031F" w:rsidRDefault="0055031F" w:rsidP="0055031F">
      <w:pPr>
        <w:spacing w:after="0" w:line="240" w:lineRule="auto"/>
      </w:pPr>
      <w:hyperlink r:id="rId12" w:history="1">
        <w:r w:rsidRPr="009801B7">
          <w:rPr>
            <w:rStyle w:val="Hypertextovodkaz"/>
          </w:rPr>
          <w:t>setelik@peprconsulting.cz</w:t>
        </w:r>
      </w:hyperlink>
    </w:p>
    <w:p w14:paraId="5039AD59" w14:textId="06D3F2F6" w:rsidR="0055031F" w:rsidRDefault="0055031F" w:rsidP="0055031F">
      <w:pPr>
        <w:spacing w:after="0" w:line="240" w:lineRule="auto"/>
      </w:pPr>
      <w:r>
        <w:t>737755094</w:t>
      </w:r>
    </w:p>
    <w:p w14:paraId="12710F56" w14:textId="77777777" w:rsidR="009A6F9B" w:rsidRDefault="009A6F9B"/>
    <w:sectPr w:rsidR="009A6F9B" w:rsidSect="00451BDD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1002" w14:textId="77777777" w:rsidR="0009749B" w:rsidRDefault="0009749B" w:rsidP="009A6F9B">
      <w:pPr>
        <w:spacing w:after="0" w:line="240" w:lineRule="auto"/>
      </w:pPr>
      <w:r>
        <w:separator/>
      </w:r>
    </w:p>
  </w:endnote>
  <w:endnote w:type="continuationSeparator" w:id="0">
    <w:p w14:paraId="7283A2D8" w14:textId="77777777" w:rsidR="0009749B" w:rsidRDefault="0009749B" w:rsidP="009A6F9B">
      <w:pPr>
        <w:spacing w:after="0" w:line="240" w:lineRule="auto"/>
      </w:pPr>
      <w:r>
        <w:continuationSeparator/>
      </w:r>
    </w:p>
  </w:endnote>
  <w:endnote w:type="continuationNotice" w:id="1">
    <w:p w14:paraId="2B258BCF" w14:textId="77777777" w:rsidR="0009749B" w:rsidRDefault="00097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FA14" w14:textId="77777777" w:rsidR="0009749B" w:rsidRDefault="0009749B" w:rsidP="009A6F9B">
      <w:pPr>
        <w:spacing w:after="0" w:line="240" w:lineRule="auto"/>
      </w:pPr>
      <w:r>
        <w:separator/>
      </w:r>
    </w:p>
  </w:footnote>
  <w:footnote w:type="continuationSeparator" w:id="0">
    <w:p w14:paraId="7ECF93C1" w14:textId="77777777" w:rsidR="0009749B" w:rsidRDefault="0009749B" w:rsidP="009A6F9B">
      <w:pPr>
        <w:spacing w:after="0" w:line="240" w:lineRule="auto"/>
      </w:pPr>
      <w:r>
        <w:continuationSeparator/>
      </w:r>
    </w:p>
  </w:footnote>
  <w:footnote w:type="continuationNotice" w:id="1">
    <w:p w14:paraId="31C00672" w14:textId="77777777" w:rsidR="0009749B" w:rsidRDefault="00097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EEB9" w14:textId="77777777" w:rsidR="00140BCE" w:rsidRPr="00140BCE" w:rsidRDefault="00140BCE" w:rsidP="00140BC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80EB" w14:textId="77777777" w:rsidR="00451BDD" w:rsidRDefault="00451BDD" w:rsidP="00451BDD">
    <w:pPr>
      <w:pStyle w:val="Zhlav"/>
      <w:jc w:val="center"/>
    </w:pPr>
    <w:r w:rsidRPr="00D63CD5">
      <w:rPr>
        <w:noProof/>
      </w:rPr>
      <w:drawing>
        <wp:inline distT="0" distB="0" distL="0" distR="0" wp14:anchorId="18262A66" wp14:editId="0B35546A">
          <wp:extent cx="882650" cy="780006"/>
          <wp:effectExtent l="0" t="0" r="0" b="1270"/>
          <wp:docPr id="52979587" name="Obrázek 4" descr="Obsah obrázku Grafika, logo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43996" name="Obrázek 4" descr="Obsah obrázku Grafika, logo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147" cy="79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3CD5">
      <w:rPr>
        <w:noProof/>
      </w:rPr>
      <w:drawing>
        <wp:inline distT="0" distB="0" distL="0" distR="0" wp14:anchorId="17F41351" wp14:editId="0995D5BB">
          <wp:extent cx="854297" cy="847725"/>
          <wp:effectExtent l="0" t="0" r="3175" b="0"/>
          <wp:docPr id="1369263032" name="Obrázek 3" descr="Výsledek obrázku pro vinařský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ýsledek obrázku pro vinařský fo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52" cy="85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352F77" wp14:editId="176ABB7B">
          <wp:extent cx="787400" cy="787400"/>
          <wp:effectExtent l="0" t="0" r="0" b="0"/>
          <wp:docPr id="746380911" name="Obrázek 5" descr="Vína z Moravy, vína z Čech | Vína z Moravy a vína z Č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ína z Moravy, vína z Čech | Vína z Moravy a vína z Če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3CD5">
      <w:br/>
    </w:r>
  </w:p>
  <w:p w14:paraId="2DD268C0" w14:textId="77777777" w:rsidR="00451BDD" w:rsidRDefault="00451BDD" w:rsidP="00451BDD">
    <w:pPr>
      <w:pStyle w:val="Zhlav"/>
    </w:pPr>
  </w:p>
  <w:p w14:paraId="0E201151" w14:textId="77777777" w:rsidR="00451BDD" w:rsidRDefault="00451BDD" w:rsidP="00451BDD">
    <w:pPr>
      <w:pStyle w:val="Zhlav"/>
      <w:jc w:val="center"/>
    </w:pPr>
    <w:r>
      <w:t>Tisková zpráva</w:t>
    </w:r>
  </w:p>
  <w:p w14:paraId="7F45143B" w14:textId="77777777" w:rsidR="00451BDD" w:rsidRPr="00451BDD" w:rsidRDefault="00451BDD" w:rsidP="00451BDD">
    <w:pPr>
      <w:pStyle w:val="Zhlav"/>
      <w:jc w:val="center"/>
      <w:rPr>
        <w:rFonts w:ascii="Calibri" w:hAnsi="Calibri" w:cs="Calibri"/>
      </w:rPr>
    </w:pPr>
    <w:r w:rsidRPr="00451BDD">
      <w:rPr>
        <w:rFonts w:ascii="Calibri" w:hAnsi="Calibri" w:cs="Calibri"/>
      </w:rPr>
      <w:t>Praha, 4. listopadu 2024</w:t>
    </w:r>
  </w:p>
  <w:p w14:paraId="59A3AB2D" w14:textId="77777777" w:rsidR="00451BDD" w:rsidRDefault="00451B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A0DD6"/>
    <w:multiLevelType w:val="multilevel"/>
    <w:tmpl w:val="03D4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D7578"/>
    <w:multiLevelType w:val="multilevel"/>
    <w:tmpl w:val="88D6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86784"/>
    <w:multiLevelType w:val="hybridMultilevel"/>
    <w:tmpl w:val="D4242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3AA1"/>
    <w:multiLevelType w:val="multilevel"/>
    <w:tmpl w:val="E892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57198"/>
    <w:multiLevelType w:val="hybridMultilevel"/>
    <w:tmpl w:val="29A2B828"/>
    <w:lvl w:ilvl="0" w:tplc="822C6E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3CF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6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4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4A2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C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8D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4A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A7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983F92"/>
    <w:multiLevelType w:val="multilevel"/>
    <w:tmpl w:val="25E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F209E"/>
    <w:multiLevelType w:val="multilevel"/>
    <w:tmpl w:val="FDA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765731">
    <w:abstractNumId w:val="0"/>
  </w:num>
  <w:num w:numId="2" w16cid:durableId="759177663">
    <w:abstractNumId w:val="6"/>
  </w:num>
  <w:num w:numId="3" w16cid:durableId="1143347155">
    <w:abstractNumId w:val="5"/>
  </w:num>
  <w:num w:numId="4" w16cid:durableId="1076047915">
    <w:abstractNumId w:val="3"/>
  </w:num>
  <w:num w:numId="5" w16cid:durableId="600533464">
    <w:abstractNumId w:val="1"/>
  </w:num>
  <w:num w:numId="6" w16cid:durableId="785730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468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BF"/>
    <w:rsid w:val="00047289"/>
    <w:rsid w:val="0009749B"/>
    <w:rsid w:val="000D0A3E"/>
    <w:rsid w:val="000D4676"/>
    <w:rsid w:val="000F3C5E"/>
    <w:rsid w:val="00140BCE"/>
    <w:rsid w:val="001501F9"/>
    <w:rsid w:val="0018541C"/>
    <w:rsid w:val="00186FE2"/>
    <w:rsid w:val="00192327"/>
    <w:rsid w:val="001B126C"/>
    <w:rsid w:val="001B146E"/>
    <w:rsid w:val="001C3A86"/>
    <w:rsid w:val="001D399A"/>
    <w:rsid w:val="001E2B4C"/>
    <w:rsid w:val="001F33B0"/>
    <w:rsid w:val="00240A8A"/>
    <w:rsid w:val="002A2056"/>
    <w:rsid w:val="0031768E"/>
    <w:rsid w:val="00332FEC"/>
    <w:rsid w:val="00337E76"/>
    <w:rsid w:val="00390A2E"/>
    <w:rsid w:val="003D11EF"/>
    <w:rsid w:val="00451BDD"/>
    <w:rsid w:val="00477A91"/>
    <w:rsid w:val="00537BA4"/>
    <w:rsid w:val="0055031F"/>
    <w:rsid w:val="0057390B"/>
    <w:rsid w:val="005B698F"/>
    <w:rsid w:val="0060008C"/>
    <w:rsid w:val="00627609"/>
    <w:rsid w:val="00675D5F"/>
    <w:rsid w:val="00687B34"/>
    <w:rsid w:val="00691A9B"/>
    <w:rsid w:val="00693DA6"/>
    <w:rsid w:val="00714AF5"/>
    <w:rsid w:val="00720D06"/>
    <w:rsid w:val="0072787A"/>
    <w:rsid w:val="00812670"/>
    <w:rsid w:val="008209B7"/>
    <w:rsid w:val="008C6F66"/>
    <w:rsid w:val="00904D18"/>
    <w:rsid w:val="0092186A"/>
    <w:rsid w:val="00925F5C"/>
    <w:rsid w:val="009307C4"/>
    <w:rsid w:val="00976281"/>
    <w:rsid w:val="00995D53"/>
    <w:rsid w:val="009A6F9B"/>
    <w:rsid w:val="009C742D"/>
    <w:rsid w:val="00A359F1"/>
    <w:rsid w:val="00A612F2"/>
    <w:rsid w:val="00A671F7"/>
    <w:rsid w:val="00A76135"/>
    <w:rsid w:val="00A83A21"/>
    <w:rsid w:val="00A9199F"/>
    <w:rsid w:val="00B170F6"/>
    <w:rsid w:val="00B23331"/>
    <w:rsid w:val="00B84893"/>
    <w:rsid w:val="00BB4CE3"/>
    <w:rsid w:val="00BC5861"/>
    <w:rsid w:val="00BC6E1E"/>
    <w:rsid w:val="00BC7C4B"/>
    <w:rsid w:val="00C07462"/>
    <w:rsid w:val="00C13797"/>
    <w:rsid w:val="00C44634"/>
    <w:rsid w:val="00CA1570"/>
    <w:rsid w:val="00CA45E4"/>
    <w:rsid w:val="00CF1A09"/>
    <w:rsid w:val="00D11E1D"/>
    <w:rsid w:val="00D63CD5"/>
    <w:rsid w:val="00D86FC1"/>
    <w:rsid w:val="00D97B40"/>
    <w:rsid w:val="00DB77DB"/>
    <w:rsid w:val="00DC5334"/>
    <w:rsid w:val="00DD3CC2"/>
    <w:rsid w:val="00DF2DB4"/>
    <w:rsid w:val="00E72B58"/>
    <w:rsid w:val="00E7321F"/>
    <w:rsid w:val="00EE01FF"/>
    <w:rsid w:val="00EE1EC4"/>
    <w:rsid w:val="00EE3FBF"/>
    <w:rsid w:val="00F177F5"/>
    <w:rsid w:val="00F27070"/>
    <w:rsid w:val="00F90DAD"/>
    <w:rsid w:val="00FA7EF4"/>
    <w:rsid w:val="018EEFAE"/>
    <w:rsid w:val="019F22AF"/>
    <w:rsid w:val="02026ABB"/>
    <w:rsid w:val="0206A47E"/>
    <w:rsid w:val="0215CA48"/>
    <w:rsid w:val="030AE307"/>
    <w:rsid w:val="03941618"/>
    <w:rsid w:val="03D6A4D1"/>
    <w:rsid w:val="04073983"/>
    <w:rsid w:val="050BE906"/>
    <w:rsid w:val="058357AC"/>
    <w:rsid w:val="05F90F15"/>
    <w:rsid w:val="060456BF"/>
    <w:rsid w:val="06ADF840"/>
    <w:rsid w:val="0750C556"/>
    <w:rsid w:val="090DEFC8"/>
    <w:rsid w:val="0925C21F"/>
    <w:rsid w:val="097BD312"/>
    <w:rsid w:val="09CDA87D"/>
    <w:rsid w:val="0A30A847"/>
    <w:rsid w:val="0A4E05A6"/>
    <w:rsid w:val="0AE155EB"/>
    <w:rsid w:val="0B1F73FB"/>
    <w:rsid w:val="0B358477"/>
    <w:rsid w:val="0B4EC77A"/>
    <w:rsid w:val="0B928352"/>
    <w:rsid w:val="0BD502FE"/>
    <w:rsid w:val="0C8503DA"/>
    <w:rsid w:val="0E08AC7E"/>
    <w:rsid w:val="0E27780B"/>
    <w:rsid w:val="0EA8E17A"/>
    <w:rsid w:val="0FE79291"/>
    <w:rsid w:val="1008F249"/>
    <w:rsid w:val="10C99679"/>
    <w:rsid w:val="117DD5F8"/>
    <w:rsid w:val="11860ACE"/>
    <w:rsid w:val="1288BB02"/>
    <w:rsid w:val="128D0712"/>
    <w:rsid w:val="12B9B5F9"/>
    <w:rsid w:val="15C0E9DE"/>
    <w:rsid w:val="15C735D7"/>
    <w:rsid w:val="15D917A0"/>
    <w:rsid w:val="16170CFE"/>
    <w:rsid w:val="1681A181"/>
    <w:rsid w:val="168209F9"/>
    <w:rsid w:val="16867245"/>
    <w:rsid w:val="17F6FFB0"/>
    <w:rsid w:val="181A9AC7"/>
    <w:rsid w:val="1903F2EE"/>
    <w:rsid w:val="1B13B8AD"/>
    <w:rsid w:val="1B554C1B"/>
    <w:rsid w:val="1CF87C01"/>
    <w:rsid w:val="1D01368E"/>
    <w:rsid w:val="1D5D54F3"/>
    <w:rsid w:val="1D9DEA23"/>
    <w:rsid w:val="1E46D8D1"/>
    <w:rsid w:val="20577519"/>
    <w:rsid w:val="2066B926"/>
    <w:rsid w:val="20BF11DA"/>
    <w:rsid w:val="211B6621"/>
    <w:rsid w:val="21684EFA"/>
    <w:rsid w:val="21BCEDD2"/>
    <w:rsid w:val="22702225"/>
    <w:rsid w:val="22976C72"/>
    <w:rsid w:val="22B235C3"/>
    <w:rsid w:val="2346C8A5"/>
    <w:rsid w:val="23B7A6CC"/>
    <w:rsid w:val="23E74591"/>
    <w:rsid w:val="24857586"/>
    <w:rsid w:val="24D0D924"/>
    <w:rsid w:val="2518908B"/>
    <w:rsid w:val="258365FB"/>
    <w:rsid w:val="25E11465"/>
    <w:rsid w:val="260E9E57"/>
    <w:rsid w:val="26D4814D"/>
    <w:rsid w:val="26EE39D2"/>
    <w:rsid w:val="2713F6AA"/>
    <w:rsid w:val="27E9DB7E"/>
    <w:rsid w:val="29710D6E"/>
    <w:rsid w:val="2981BAFC"/>
    <w:rsid w:val="2CB067BD"/>
    <w:rsid w:val="2CB88564"/>
    <w:rsid w:val="2D7AFA4C"/>
    <w:rsid w:val="2D85D01D"/>
    <w:rsid w:val="2E7AFE7C"/>
    <w:rsid w:val="2EA25011"/>
    <w:rsid w:val="2F43F731"/>
    <w:rsid w:val="302ECF10"/>
    <w:rsid w:val="306282E9"/>
    <w:rsid w:val="31689093"/>
    <w:rsid w:val="31C2CCC9"/>
    <w:rsid w:val="324346D7"/>
    <w:rsid w:val="324ADF0D"/>
    <w:rsid w:val="324EFC50"/>
    <w:rsid w:val="332ABA7B"/>
    <w:rsid w:val="3423F1B1"/>
    <w:rsid w:val="344A58AA"/>
    <w:rsid w:val="34BC5BC3"/>
    <w:rsid w:val="34E58ED9"/>
    <w:rsid w:val="3501B6A9"/>
    <w:rsid w:val="35073D4C"/>
    <w:rsid w:val="352893A7"/>
    <w:rsid w:val="3A13B8FD"/>
    <w:rsid w:val="3ADF969C"/>
    <w:rsid w:val="3B2B5E53"/>
    <w:rsid w:val="3C709DFA"/>
    <w:rsid w:val="3D3CEE41"/>
    <w:rsid w:val="3DC33FAA"/>
    <w:rsid w:val="3DDFE7D0"/>
    <w:rsid w:val="3E54F463"/>
    <w:rsid w:val="3ECC5B61"/>
    <w:rsid w:val="3F0B5C06"/>
    <w:rsid w:val="3F84A09B"/>
    <w:rsid w:val="4041C0B2"/>
    <w:rsid w:val="409A68AE"/>
    <w:rsid w:val="4223387D"/>
    <w:rsid w:val="42FD7E18"/>
    <w:rsid w:val="44E86FB6"/>
    <w:rsid w:val="44F0E69B"/>
    <w:rsid w:val="46B80740"/>
    <w:rsid w:val="46FEEB2E"/>
    <w:rsid w:val="47AC7E02"/>
    <w:rsid w:val="48303CDA"/>
    <w:rsid w:val="48D3E358"/>
    <w:rsid w:val="4AA04DB7"/>
    <w:rsid w:val="4B51A13B"/>
    <w:rsid w:val="4D6EA977"/>
    <w:rsid w:val="4E8C3738"/>
    <w:rsid w:val="4F116727"/>
    <w:rsid w:val="4F4BAE45"/>
    <w:rsid w:val="4F69DD2F"/>
    <w:rsid w:val="4F7FB339"/>
    <w:rsid w:val="4F833C02"/>
    <w:rsid w:val="4FC2F211"/>
    <w:rsid w:val="50B29325"/>
    <w:rsid w:val="50E951A9"/>
    <w:rsid w:val="5199B37A"/>
    <w:rsid w:val="522FF6CB"/>
    <w:rsid w:val="524DD216"/>
    <w:rsid w:val="52D2791B"/>
    <w:rsid w:val="52FA1AAD"/>
    <w:rsid w:val="54055D49"/>
    <w:rsid w:val="543D23BE"/>
    <w:rsid w:val="547B051D"/>
    <w:rsid w:val="54C52472"/>
    <w:rsid w:val="54D45383"/>
    <w:rsid w:val="56125C25"/>
    <w:rsid w:val="5764BE1D"/>
    <w:rsid w:val="597D5868"/>
    <w:rsid w:val="59A25AEF"/>
    <w:rsid w:val="5A26AAB3"/>
    <w:rsid w:val="5ADD1451"/>
    <w:rsid w:val="5B2F7D2A"/>
    <w:rsid w:val="5C07F451"/>
    <w:rsid w:val="5C464C18"/>
    <w:rsid w:val="5CE383CF"/>
    <w:rsid w:val="5DC69EF4"/>
    <w:rsid w:val="5E48B97A"/>
    <w:rsid w:val="5F537764"/>
    <w:rsid w:val="5F65B0E4"/>
    <w:rsid w:val="600F565C"/>
    <w:rsid w:val="61360EA8"/>
    <w:rsid w:val="622F320A"/>
    <w:rsid w:val="625E6D14"/>
    <w:rsid w:val="62A5363E"/>
    <w:rsid w:val="6547F994"/>
    <w:rsid w:val="654ED441"/>
    <w:rsid w:val="663B314F"/>
    <w:rsid w:val="6647154E"/>
    <w:rsid w:val="66F23BD0"/>
    <w:rsid w:val="686122BC"/>
    <w:rsid w:val="68AF9B34"/>
    <w:rsid w:val="696566AE"/>
    <w:rsid w:val="6983E35A"/>
    <w:rsid w:val="69F3ED84"/>
    <w:rsid w:val="6A3987E6"/>
    <w:rsid w:val="6A5CD044"/>
    <w:rsid w:val="6B6A6ABE"/>
    <w:rsid w:val="6C3FDF22"/>
    <w:rsid w:val="6C5111CC"/>
    <w:rsid w:val="6D094CD5"/>
    <w:rsid w:val="6E1DADF5"/>
    <w:rsid w:val="6E8CF2C0"/>
    <w:rsid w:val="6EF6DA47"/>
    <w:rsid w:val="6FE713FD"/>
    <w:rsid w:val="70851EB6"/>
    <w:rsid w:val="7120D9C3"/>
    <w:rsid w:val="7138D88C"/>
    <w:rsid w:val="71679B08"/>
    <w:rsid w:val="71927D90"/>
    <w:rsid w:val="719E767D"/>
    <w:rsid w:val="7211BE34"/>
    <w:rsid w:val="7216AD48"/>
    <w:rsid w:val="728D3A85"/>
    <w:rsid w:val="72DE0066"/>
    <w:rsid w:val="72FE9893"/>
    <w:rsid w:val="73852860"/>
    <w:rsid w:val="759EE658"/>
    <w:rsid w:val="76DD4D49"/>
    <w:rsid w:val="77128F85"/>
    <w:rsid w:val="7770CBB8"/>
    <w:rsid w:val="7787A6BE"/>
    <w:rsid w:val="779F791B"/>
    <w:rsid w:val="7807225F"/>
    <w:rsid w:val="78AEA4E4"/>
    <w:rsid w:val="791EBD12"/>
    <w:rsid w:val="79321E0D"/>
    <w:rsid w:val="7969352D"/>
    <w:rsid w:val="79F12E5D"/>
    <w:rsid w:val="7CC004C3"/>
    <w:rsid w:val="7D1C9A78"/>
    <w:rsid w:val="7D297A82"/>
    <w:rsid w:val="7D3531FF"/>
    <w:rsid w:val="7DA37884"/>
    <w:rsid w:val="7E5F39B9"/>
    <w:rsid w:val="7EE33DBC"/>
    <w:rsid w:val="7EE90D13"/>
    <w:rsid w:val="7F016B4C"/>
    <w:rsid w:val="7F848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EFA8"/>
  <w15:chartTrackingRefBased/>
  <w15:docId w15:val="{83A17A10-1B87-4144-9AB7-CBDED6A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056"/>
  </w:style>
  <w:style w:type="paragraph" w:styleId="Nadpis1">
    <w:name w:val="heading 1"/>
    <w:basedOn w:val="Normln"/>
    <w:next w:val="Normln"/>
    <w:link w:val="Nadpis1Char"/>
    <w:uiPriority w:val="9"/>
    <w:qFormat/>
    <w:rsid w:val="00EE3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F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F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F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F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F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F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F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F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F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F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FBF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A6F9B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A6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F9B"/>
  </w:style>
  <w:style w:type="paragraph" w:styleId="Zpat">
    <w:name w:val="footer"/>
    <w:basedOn w:val="Normln"/>
    <w:link w:val="ZpatChar"/>
    <w:uiPriority w:val="99"/>
    <w:unhideWhenUsed/>
    <w:rsid w:val="009A6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F9B"/>
  </w:style>
  <w:style w:type="character" w:styleId="Hypertextovodkaz">
    <w:name w:val="Hyperlink"/>
    <w:basedOn w:val="Standardnpsmoodstavce"/>
    <w:uiPriority w:val="99"/>
    <w:unhideWhenUsed/>
    <w:rsid w:val="00BC7C4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C4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28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76281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sid w:val="001923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11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11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telik@peprconsulting.cz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azmoravyvinazcech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99C24506-E8F7-40EA-AC43-B0D936440F7C}">
    <t:Anchor>
      <t:Comment id="1951685963"/>
    </t:Anchor>
    <t:History>
      <t:Event id="{1CD0C431-3A6E-4ABE-96F7-51EC381CB5E2}" time="2024-11-03T10:01:45.218Z">
        <t:Attribution userId="S::Ondrej.Beranek@bohemiasekt.cz::f0ffeed1-64c5-42a2-8c3d-970297c48131" userProvider="AD" userName="Beranek Ondrej"/>
        <t:Anchor>
          <t:Comment id="1951685963"/>
        </t:Anchor>
        <t:Create/>
      </t:Event>
      <t:Event id="{891F3753-6658-4334-84C6-292D2FB0B0A5}" time="2024-11-03T10:01:45.218Z">
        <t:Attribution userId="S::Ondrej.Beranek@bohemiasekt.cz::f0ffeed1-64c5-42a2-8c3d-970297c48131" userProvider="AD" userName="Beranek Ondrej"/>
        <t:Anchor>
          <t:Comment id="1951685963"/>
        </t:Anchor>
        <t:Assign userId="S::Martin.Fousek@bohemiasekt.cz::6148c4fd-9354-411e-98ef-1c4b1cd0a63b" userProvider="AD" userName="Fousek Martin"/>
      </t:Event>
      <t:Event id="{64777142-80F1-4784-85E2-0567660104F0}" time="2024-11-03T10:01:45.218Z">
        <t:Attribution userId="S::Ondrej.Beranek@bohemiasekt.cz::f0ffeed1-64c5-42a2-8c3d-970297c48131" userProvider="AD" userName="Beranek Ondrej"/>
        <t:Anchor>
          <t:Comment id="1951685963"/>
        </t:Anchor>
        <t:SetTitle title="Já myslím, že SVM vína se nezdražovala už několik let, nejenom ty dva roky. Nebo @Fousek Martin ?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16DAB79AB8F4E8DB7C04508DEBAED" ma:contentTypeVersion="16" ma:contentTypeDescription="Create a new document." ma:contentTypeScope="" ma:versionID="13d92709b379baa45cff4b901da3a1ba">
  <xsd:schema xmlns:xsd="http://www.w3.org/2001/XMLSchema" xmlns:xs="http://www.w3.org/2001/XMLSchema" xmlns:p="http://schemas.microsoft.com/office/2006/metadata/properties" xmlns:ns2="fb2a656e-2069-40e2-9555-2d1a16cf14c5" xmlns:ns3="c5b03f6d-978e-470d-8465-25220fbb97ec" targetNamespace="http://schemas.microsoft.com/office/2006/metadata/properties" ma:root="true" ma:fieldsID="668fcd68df888161b4ea086b943ae94e" ns2:_="" ns3:_="">
    <xsd:import namespace="fb2a656e-2069-40e2-9555-2d1a16cf14c5"/>
    <xsd:import namespace="c5b03f6d-978e-470d-8465-25220fbb9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a656e-2069-40e2-9555-2d1a16cf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1eebf4-fc90-4ba8-97c6-e52e0863f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03f6d-978e-470d-8465-25220fbb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7aaed3-d1db-4fce-9974-27ff5d499b79}" ma:internalName="TaxCatchAll" ma:showField="CatchAllData" ma:web="c5b03f6d-978e-470d-8465-25220fbb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b03f6d-978e-470d-8465-25220fbb97ec" xsi:nil="true"/>
    <lcf76f155ced4ddcb4097134ff3c332f xmlns="fb2a656e-2069-40e2-9555-2d1a16cf14c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4B2B1-F686-4B8D-AA05-4AE14CB79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a656e-2069-40e2-9555-2d1a16cf14c5"/>
    <ds:schemaRef ds:uri="c5b03f6d-978e-470d-8465-25220fbb9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F9293-CB5C-4423-8E48-94BD75E6D94E}">
  <ds:schemaRefs>
    <ds:schemaRef ds:uri="http://purl.org/dc/elements/1.1/"/>
    <ds:schemaRef ds:uri="http://schemas.microsoft.com/office/infopath/2007/PartnerControls"/>
    <ds:schemaRef ds:uri="fb2a656e-2069-40e2-9555-2d1a16cf14c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5b03f6d-978e-470d-8465-25220fbb97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B69116-80C0-4181-B469-24CF528E6F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EBFD6-FA03-4F86-9048-BB1AC9B84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Šetelík</dc:creator>
  <cp:keywords/>
  <dc:description/>
  <cp:lastModifiedBy>Ondřej Beránek</cp:lastModifiedBy>
  <cp:revision>6</cp:revision>
  <cp:lastPrinted>2024-10-31T00:04:00Z</cp:lastPrinted>
  <dcterms:created xsi:type="dcterms:W3CDTF">2024-11-04T07:38:00Z</dcterms:created>
  <dcterms:modified xsi:type="dcterms:W3CDTF">2024-11-06T12:32:00Z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0x01010086E16DAB79AB8F4E8DB7C04508DEBAED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